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Schema comparison tool</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62"/>
        <w:gridCol w:w="5698"/>
      </w:tblGrid>
      <w:tr>
        <w:trPr>
          <w:cantSplit/>
          <w:tblHeader/>
        </w:trPr>
        <w:tc>
          <w:tcPr>
            <w:tcW w:type="dxa" w:w="366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6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Schema comparison tool</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39-schema-comparison-tool</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2026-10-08.dataset-utility.1</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Dataset review prepared</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prepared</w:t>
            </w:r>
          </w:p>
        </w:tc>
      </w:tr>
      <w:tr>
        <w:trPr>
          <w:cantSplit/>
        </w:trPr>
        <w:tc>
          <w:tcPr>
            <w:tcW w:type="dxa" w:w="366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6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66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6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bl>
    <w:p>
      <w:pPr>
        <w:pStyle w:val="Heading1"/>
      </w:pPr>
      <w:r>
        <w:t xml:space="preserve">Purpose and boundary</w:t>
      </w:r>
    </w:p>
    <w:p>
      <w:r>
        <w:t xml:space="preserve">Compare two declared schemas and identify added, removed and changed field definitions.</w:t>
      </w:r>
    </w:p>
    <w:p>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pPr>
      <w:r>
        <w:t xml:space="preserve">Method and exact sources</w:t>
      </w:r>
    </w:p>
    <w:p>
      <w:r>
        <w:t xml:space="preserve">Method revision 2026-10-08.dataset-utility.1.</w:t>
      </w:r>
    </w:p>
    <w:p>
      <w:r>
        <w:t xml:space="preserve">Each schema file needs field, type, required and allowed columns. Required is true or false. Allowed is a JSON string array. Compare exact field names, type, required flag and allowed-value sets. Duplicate definitions remain unresolved.</w:t>
      </w:r>
    </w:p>
    <w:p>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48"/>
        <w:gridCol w:w="3120"/>
        <w:gridCol w:w="998"/>
        <w:gridCol w:w="3994"/>
      </w:tblGrid>
      <w:tr>
        <w:trPr>
          <w:cantSplit/>
          <w:tblHeader/>
        </w:trPr>
        <w:tc>
          <w:tcPr>
            <w:tcW w:type="dxa" w:w="12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fictional-primary.json</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123</w:t>
            </w:r>
          </w:p>
        </w:tc>
        <w:tc>
          <w:tcPr>
            <w:tcW w:type="dxa" w:w="39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81b30ab8c1d565c84b38e0b490253bbb139dfc61e6d056dcbb82167d4278f18e</w:t>
            </w:r>
          </w:p>
        </w:tc>
      </w:tr>
      <w:tr>
        <w:trPr>
          <w:cantSplit/>
        </w:trPr>
        <w:tc>
          <w:tcPr>
            <w:tcW w:type="dxa" w:w="1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fictional-comparison.json</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120</w:t>
            </w:r>
          </w:p>
        </w:tc>
        <w:tc>
          <w:tcPr>
            <w:tcW w:type="dxa" w:w="39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19661b6d8ee69c6bace20ce94d874c12959dc258087dce26a66b88225801afdc</w:t>
            </w:r>
          </w:p>
        </w:tc>
      </w:tr>
    </w:tbl>
    <w:p>
      <w:pPr>
        <w:pStyle w:val="Heading1"/>
      </w:pPr>
      <w:r>
        <w:t xml:space="preserve">Frozen inputs</w:t>
      </w:r>
    </w:p>
    <w:p>
      <w:pPr>
        <w:pStyle w:val="Heading1"/>
      </w:pPr>
      <w:r>
        <w:t xml:space="preserve">Review result</w:t>
      </w:r>
    </w:p>
    <w:p>
      <w:r>
        <w:t xml:space="preserve">3 source-linked review rows. Changed: 1; Removed: 1; Added: 1.</w:t>
      </w:r>
    </w:p>
    <w:p>
      <w:pPr>
        <w:pStyle w:val="ListParagraph"/>
        <w:numPr>
          <w:ilvl w:val="0"/>
          <w:numId w:val="1"/>
        </w:numPr>
      </w:pPr>
      <w:r>
        <w:t xml:space="preserve">Method revision 2026-10-08.dataset-utility.1.</w:t>
      </w:r>
    </w:p>
    <w:p>
      <w:pPr>
        <w:pStyle w:val="ListParagraph"/>
        <w:numPr>
          <w:ilvl w:val="0"/>
          <w:numId w:val="1"/>
        </w:numPr>
      </w:pPr>
      <w:r>
        <w:t xml:space="preserve">Each schema file needs field, type, required and allowed columns. Required is true or false. Allowed is a JSON string array. Compare exact field names, type, required flag and allowed-value sets. Duplicate definitions remain unresolved.</w:t>
      </w:r>
    </w:p>
    <w:p>
      <w:pPr>
        <w:pStyle w:val="ListParagraph"/>
        <w:numPr>
          <w:ilvl w:val="0"/>
          <w:numId w:val="1"/>
        </w:numPr>
      </w:pPr>
      <w:r>
        <w:t xml:space="preserve">Allowed-value order does not change the declared set. Field-name case and whitespace remain distinct.</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418"/>
        <w:gridCol w:w="3942"/>
      </w:tblGrid>
      <w:tr>
        <w:trPr>
          <w:cantSplit/>
          <w:tblHeader/>
        </w:trPr>
        <w:tc>
          <w:tcPr>
            <w:tcW w:type="dxa" w:w="5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394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rows</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r>
        <w:trPr>
          <w:cantSplit/>
        </w:trPr>
        <w:tc>
          <w:tcPr>
            <w:tcW w:type="dxa" w:w="5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Changed</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5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Removed</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5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Added</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Source-linked checks</w:t>
      </w:r>
    </w:p>
    <w:p>
      <w:r>
        <w:t xml:space="preserve">The formal report shows at most the first 100 review rows and 300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717"/>
        <w:gridCol w:w="2415"/>
        <w:gridCol w:w="4228"/>
      </w:tblGrid>
      <w:tr>
        <w:trPr>
          <w:cantSplit/>
          <w:tblHeader/>
        </w:trPr>
        <w:tc>
          <w:tcPr>
            <w:tcW w:type="dxa" w:w="271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22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7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24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Changed</w:t>
            </w:r>
          </w:p>
        </w:tc>
        <w:tc>
          <w:tcPr>
            <w:tcW w:type="dxa" w:w="42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type</w:t>
            </w:r>
          </w:p>
        </w:tc>
      </w:tr>
      <w:tr>
        <w:trPr>
          <w:cantSplit/>
        </w:trPr>
        <w:tc>
          <w:tcPr>
            <w:tcW w:type="dxa" w:w="271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24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Removed</w:t>
            </w:r>
          </w:p>
        </w:tc>
        <w:tc>
          <w:tcPr>
            <w:tcW w:type="dxa" w:w="422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Field removed.</w:t>
            </w:r>
          </w:p>
        </w:tc>
      </w:tr>
      <w:tr>
        <w:trPr>
          <w:cantSplit/>
        </w:trPr>
        <w:tc>
          <w:tcPr>
            <w:tcW w:type="dxa" w:w="271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Amount</w:t>
            </w:r>
          </w:p>
        </w:tc>
        <w:tc>
          <w:tcPr>
            <w:tcW w:type="dxa" w:w="24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Added</w:t>
            </w:r>
          </w:p>
        </w:tc>
        <w:tc>
          <w:tcPr>
            <w:tcW w:type="dxa" w:w="42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Field added.</w:t>
            </w:r>
          </w:p>
        </w:tc>
      </w:tr>
    </w:tbl>
    <w:p>
      <w:pPr>
        <w:pStyle w:val="Heading1"/>
      </w:pPr>
      <w:r>
        <w:t xml:space="preserve">Unresolved items and limitations</w:t>
      </w:r>
    </w:p>
    <w:p>
      <w:pPr>
        <w:pStyle w:val="ListParagraph"/>
        <w:numPr>
          <w:ilvl w:val="0"/>
          <w:numId w:val="1"/>
        </w:numPr>
      </w:pPr>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keepNext/>
      </w:pPr>
      <w:r>
        <w:t xml:space="preserve">Limitations</w:t>
      </w:r>
    </w:p>
    <w:p>
      <w:pPr>
        <w:pStyle w:val="ListParagraph"/>
        <w:keepNext w:val="false"/>
        <w:keepLines/>
        <w:numPr>
          <w:ilvl w:val="0"/>
          <w:numId w:val="1"/>
        </w:numPr>
      </w:pPr>
      <w:r>
        <w:t xml:space="preserve">Mechanical checks use customer-selected rules and exact source values. They do not authenticate records, establish a complete population, validate an identifier registry, approve an import, or determine compliance. Original files remain unchanged in this browser.</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(CSV)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record, field and quoting conventions. This source does not specify customer schemas, matching rules, checksum arithmetic, sampling quality or import acceptance.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sp-yb10vwhct2rmf15ayh">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digest specification for exact source-byte and delivered-file checks. It does not establish authenticity or validate the named review rules.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shd w:fill="F7F7F7"/>
            <w:tcMar>
              <w:top w:type="dxa" w:w="100"/>
              <w:left w:type="dxa" w:w="120"/>
              <w:bottom w:type="dxa" w:w="100"/>
              <w:right w:type="dxa" w:w="120"/>
            </w:tcMar>
            <w:vAlign w:val="center"/>
          </w:tcPr>
          <w:p>
            <w:pPr>
              <w:spacing w:after="0" w:before="0" w:line="260"/>
            </w:pPr>
            <w:hyperlink w:history="1" r:id="rId-j4qbwhudlaxa6ncr57af">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39-schema-comparison-tool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sp-yb10vwhct2rmf15ayh" Type="http://schemas.openxmlformats.org/officeDocument/2006/relationships/hyperlink" Target="https://www.rfc-editor.org/rfc/rfc4180" TargetMode="External"/><Relationship Id="rId-j4qbwhudlaxa6ncr57af" Type="http://schemas.openxmlformats.org/officeDocument/2006/relationships/hyperlink" Target="https://csrc.nist.gov/pubs/fips/180-4/upd1/fina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Schema comparison tool</dc:title>
  <dc:subject>Fictional sample. Requires tailoring and responsible review.</dc:subject>
  <dc:creator>Business Compliance Tools</dc:creator>
  <cp:keywords>compliance, evidence, us</cp:keywords>
  <dc:description>Schema comparison tool</dc:description>
  <cp:lastModifiedBy>Business Compliance Tools</cp:lastModifiedBy>
  <cp:revision>1</cp:revision>
  <dcterms:created xsi:type="dcterms:W3CDTF">2026-10-08T20:48:04.202Z</dcterms:created>
  <dcterms:modified xsi:type="dcterms:W3CDTF">2026-10-08T20:48:04.202Z</dcterms:modified>
</cp:coreProperties>
</file>

<file path=docProps/custom.xml><?xml version="1.0" encoding="utf-8"?>
<Properties xmlns="http://schemas.openxmlformats.org/officeDocument/2006/custom-properties" xmlns:vt="http://schemas.openxmlformats.org/officeDocument/2006/docPropsVTypes"/>
</file>