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line="500"/>
      </w:pPr>
      <w:r>
        <w:rPr>
          <w:rFonts w:ascii="Times New Roman" w:cs="Times New Roman" w:eastAsia="Times New Roman" w:hAnsi="Times New Roman"/>
          <w:b/>
          <w:bCs/>
          <w:color w:val="1F1F1F"/>
          <w:sz w:val="40"/>
          <w:szCs w:val="40"/>
        </w:rPr>
        <w:t xml:space="preserve">Duplicate invoice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invoice checker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24-duplicate-invoice-checker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2026-10-06.duplicate-invoice.1</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Invoice review has unresolved rows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bl>
    <w:p>
      <w:pPr>
        <w:pStyle w:val="Heading1"/>
      </w:pPr>
      <w:r>
        <w:t xml:space="preserve">Source and comparison method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83"/>
        <w:gridCol w:w="3303"/>
        <w:gridCol w:w="1211"/>
        <w:gridCol w:w="1763"/>
      </w:tblGrid>
      <w:tr>
        <w:trPr>
          <w:cantSplit/>
          <w:tblHeader/>
        </w:trPr>
        <w:tc>
          <w:tcPr>
            <w:tcW w:type="dxa" w:w="30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Tool</w:t>
            </w:r>
          </w:p>
        </w:tc>
        <w:tc>
          <w:tcPr>
            <w:tcW w:type="dxa" w:w="33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Method</w:t>
            </w:r>
          </w:p>
        </w:tc>
        <w:tc>
          <w:tcPr>
            <w:tcW w:type="dxa" w:w="12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rows</w:t>
            </w:r>
          </w:p>
        </w:tc>
        <w:tc>
          <w:tcPr>
            <w:tcW w:type="dxa" w:w="176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Original SHA-256</w:t>
            </w:r>
          </w:p>
        </w:tc>
      </w:tr>
      <w:tr>
        <w:trPr>
          <w:cantSplit/>
        </w:trPr>
        <w:tc>
          <w:tcPr>
            <w:tcW w:type="dxa" w:w="30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24-duplicate-invoice-checker</w:t>
            </w:r>
          </w:p>
        </w:tc>
        <w:tc>
          <w:tcPr>
            <w:tcW w:type="dxa" w:w="33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2026-10-06.duplicate-invoice.1</w:t>
            </w:r>
          </w:p>
        </w:tc>
        <w:tc>
          <w:tcPr>
            <w:tcW w:type="dxa" w:w="12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176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supplied</w:t>
            </w:r>
          </w:p>
        </w:tc>
      </w:tr>
    </w:tbl>
    <w:p>
      <w:pPr>
        <w:pStyle w:val="Heading1"/>
      </w:pPr>
      <w:r>
        <w:t xml:space="preserve">Purpose and boundary</w:t>
      </w:r>
    </w:p>
    <w:p>
      <w:r>
        <w:t xml:space="preserve">Find repeated supplier and invoice numbers, conflicting invoice details, and equal supplier, amount, currency and date candidates. Keep every source row for review.</w:t>
      </w:r>
    </w:p>
    <w:p>
      <w:r>
        <w:t xml:space="preserve">Candidates require original invoice and ledger review. Matching facts do not prove duplicate payment, fraud or recoverable loss. This tool does not delete invoices, approve or block payments, query a ledger, convert currency or authenticate documents.</w:t>
      </w:r>
    </w:p>
    <w:p>
      <w:pPr>
        <w:pStyle w:val="Heading1"/>
      </w:pPr>
      <w:r>
        <w:t xml:space="preserve">Frozen review inputs</w:t>
      </w:r>
    </w:p>
    <w:p>
      <w:r>
        <w:t xml:space="preserve">Inputs are abridged after 400 characters in this summary. Complete values remain in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Input</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Invoice population and snapshot basis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 One invoice header per row from a fictional October 2026 snapshot. No actual supplier, payment or fraud finding.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Invoice number comparison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bl>
    <w:p>
      <w:pPr>
        <w:pStyle w:val="Heading1"/>
      </w:pPr>
      <w:r>
        <w:t xml:space="preserve">Result</w:t>
      </w:r>
    </w:p>
    <w:p>
      <w:r>
        <w:t xml:space="preserve">7 source rows assessed. 4 rows belong to 2 candidate groups. 1 unresolved row.</w:t>
      </w:r>
    </w:p>
    <w:p>
      <w:pPr>
        <w:pStyle w:val="ListParagraph"/>
        <w:numPr>
          <w:ilvl w:val="0"/>
          <w:numId w:val="1"/>
        </w:numPr>
      </w:pPr>
      <w:r>
        <w:t xml:space="preserve">Find repeated supplier and invoice numbers, conflicting invoice details, and equal supplier, amount, currency and date candidates. Keep every source row for review.</w:t>
      </w:r>
    </w:p>
    <w:p>
      <w:pPr>
        <w:pStyle w:val="ListParagraph"/>
        <w:numPr>
          <w:ilvl w:val="0"/>
          <w:numId w:val="1"/>
        </w:numPr>
      </w:pPr>
      <w:r>
        <w:t xml:space="preserve">Method revision 2026-10-06.duplicate-invoice.1.</w:t>
      </w:r>
    </w:p>
    <w:p>
      <w:pPr>
        <w:pStyle w:val="ListParagraph"/>
        <w:numPr>
          <w:ilvl w:val="0"/>
          <w:numId w:val="1"/>
        </w:numPr>
      </w:pPr>
      <w:r>
        <w:t xml:space="preserve">Group exact supplier IDs with invoice numbers using the selected comparison. Every occurrence is retained, including the first. Original strings never change.</w:t>
      </w:r>
    </w:p>
    <w:p>
      <w:pPr>
        <w:pStyle w:val="ListParagraph"/>
        <w:numPr>
          <w:ilvl w:val="0"/>
          <w:numId w:val="1"/>
        </w:numPr>
      </w:pPr>
      <w:r>
        <w:t xml:space="preserve">Separately group exact supplier IDs with equal signed decimal amounts, exact uppercase three-letter currency labels and valid YYYY-MM-DD invoice dates. This secondary comparison can flag different invoice numbers. It uses no date tolerance, currency conversion or fuzzy supplier matching.</w:t>
      </w:r>
    </w:p>
    <w:p>
      <w:pPr>
        <w:pStyle w:val="ListParagraph"/>
        <w:numPr>
          <w:ilvl w:val="0"/>
          <w:numId w:val="1"/>
        </w:numPr>
      </w:pPr>
      <w:r>
        <w:t xml:space="preserve">Amounts support a minus sign, 1 through 15 integer digits and at most six decimal places. Leading zeros and trailing decimal zeros compare numerically using scaled integer arithmetic. No rounding, float arithmetic, commas, exponents or currency symbols. Negative and zero amounts remain review items, never inferred losses.</w:t>
      </w:r>
    </w:p>
    <w:p>
      <w:pPr>
        <w:pStyle w:val="ListParagraph"/>
        <w:numPr>
          <w:ilvl w:val="0"/>
          <w:numId w:val="1"/>
        </w:numPr>
      </w:pPr>
      <w:r>
        <w:t xml:space="preserve">Currency labels require three uppercase ASCII letters. The tool does not infer currency or verify currency-code membership or minor units. Dates require exact YYYY-MM-DD from 1900 through 2200.</w:t>
      </w:r>
    </w:p>
    <w:p>
      <w:pPr>
        <w:pStyle w:val="ListParagraph"/>
        <w:numPr>
          <w:ilvl w:val="0"/>
          <w:numId w:val="1"/>
        </w:numPr>
      </w:pPr>
      <w:r>
        <w:t xml:space="preserve">Duplicate record references and missing or unsupported values remain unresolved. Known supplier and invoice facts can still identify a candidate. Missing facts cannot establish a unique invoice.</w:t>
      </w:r>
    </w:p>
    <w:p>
      <w:pPr>
        <w:pStyle w:val="ListParagraph"/>
        <w:numPr>
          <w:ilvl w:val="0"/>
          <w:numId w:val="1"/>
        </w:numPr>
      </w:pPr>
      <w:r>
        <w:t xml:space="preserve">Identifier groups report conflicting amounts, currencies or dates, including incomplete detail coverage. Group numbers follow first source occurrence. Source row numbers count the header as row 1.</w:t>
      </w:r>
    </w:p>
    <w:p>
      <w:pPr>
        <w:pStyle w:val="ListParagraph"/>
        <w:numPr>
          <w:ilvl w:val="0"/>
          <w:numId w:val="1"/>
        </w:numPr>
      </w:pPr>
      <w:r>
        <w:t xml:space="preserve">Selected comparison. Exact text.</w:t>
      </w:r>
    </w:p>
    <w:p>
      <w:pPr>
        <w:pStyle w:val="ListParagraph"/>
        <w:numPr>
          <w:ilvl w:val="0"/>
          <w:numId w:val="1"/>
        </w:numPr>
      </w:pPr>
      <w:r>
        <w:t xml:space="preserve">Candidates require original invoice and ledger review. Matching facts do not prove duplicate payment, fraud or recoverable loss. This tool does not delete invoices, approve or block payments, query a ledger, convert currency or authenticate documents.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240"/>
        <w:gridCol w:w="3120"/>
      </w:tblGrid>
      <w:tr>
        <w:trPr>
          <w:cantSplit/>
          <w:tblHeader/>
        </w:trPr>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rows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rows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groups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rows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Candidate groups</w:t>
      </w:r>
    </w:p>
    <w:p>
      <w:r>
        <w:t xml:space="preserve">First 100 groups, with descriptions abridged after 400 characters. Complete group membership remains in JSON and Excel. Groups can overlap. No amount represents proven loss.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24"/>
        <w:gridCol w:w="3697"/>
        <w:gridCol w:w="1040"/>
        <w:gridCol w:w="3699"/>
      </w:tblGrid>
      <w:tr>
        <w:trPr>
          <w:cantSplit/>
          <w:tblHeader/>
        </w:trPr>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Group</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Basis</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Row count</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INV-0001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 Supplier and selected invoice key</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Repeated supplier and invoice comparison key. Conflicting amount, invoice date.</w:t>
            </w:r>
          </w:p>
        </w:tc>
      </w:tr>
      <w:tr>
        <w:trPr>
          <w:cantSplit/>
        </w:trPr>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ECO-0001</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Economic. Supplier, amount, currency and date</w:t>
            </w:r>
          </w:p>
        </w:tc>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Equal supplier, signed amount, currency and invoice date. Different invoice numbers can still represent genuine separate invoices.</w:t>
            </w:r>
          </w:p>
        </w:tc>
      </w:tr>
    </w:tbl>
    <w:p>
      <w:pPr>
        <w:pStyle w:val="Heading1"/>
      </w:pPr>
      <w:r>
        <w:t xml:space="preserve">Invoice row findings</w:t>
      </w:r>
    </w:p>
    <w:p>
      <w:r>
        <w:t xml:space="preserve">First 100 source rows. References and findings are abridged after 400 characters. All result and source rows remain in Excel, CSV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82"/>
        <w:gridCol w:w="2051"/>
        <w:gridCol w:w="3718"/>
        <w:gridCol w:w="2309"/>
      </w:tblGrid>
      <w:tr>
        <w:trPr>
          <w:cantSplit/>
          <w:tblHeader/>
        </w:trPr>
        <w:tc>
          <w:tcPr>
            <w:tcW w:type="dxa" w:w="128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row</w:t>
            </w:r>
          </w:p>
        </w:tc>
        <w:tc>
          <w:tcPr>
            <w:tcW w:type="dxa" w:w="205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Record reference</w:t>
            </w:r>
          </w:p>
        </w:tc>
        <w:tc>
          <w:tcPr>
            <w:tcW w:type="dxa" w:w="37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30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Candidate groups</w:t>
            </w:r>
          </w:p>
        </w:tc>
      </w:tr>
      <w:tr>
        <w:trPr>
          <w:cantSplit/>
        </w:trPr>
        <w:tc>
          <w:tcPr>
            <w:tcW w:type="dxa" w:w="12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20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F-001</w:t>
            </w:r>
          </w:p>
        </w:tc>
        <w:tc>
          <w:tcPr>
            <w:tcW w:type="dxa" w:w="37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duplicate</w:t>
            </w:r>
          </w:p>
        </w:tc>
        <w:tc>
          <w:tcPr>
            <w:tcW w:type="dxa" w:w="230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INV-0001, ECO-0001</w:t>
            </w:r>
          </w:p>
        </w:tc>
      </w:tr>
      <w:tr>
        <w:trPr>
          <w:cantSplit/>
        </w:trPr>
        <w:tc>
          <w:tcPr>
            <w:tcW w:type="dxa" w:w="12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205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F-002</w:t>
            </w:r>
          </w:p>
        </w:tc>
        <w:tc>
          <w:tcPr>
            <w:tcW w:type="dxa" w:w="37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duplicate</w:t>
            </w:r>
          </w:p>
        </w:tc>
        <w:tc>
          <w:tcPr>
            <w:tcW w:type="dxa" w:w="230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INV-0001, ECO-0001</w:t>
            </w:r>
          </w:p>
        </w:tc>
      </w:tr>
      <w:tr>
        <w:trPr>
          <w:cantSplit/>
        </w:trPr>
        <w:tc>
          <w:tcPr>
            <w:tcW w:type="dxa" w:w="12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20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F-003</w:t>
            </w:r>
          </w:p>
        </w:tc>
        <w:tc>
          <w:tcPr>
            <w:tcW w:type="dxa" w:w="37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duplicate</w:t>
            </w:r>
          </w:p>
        </w:tc>
        <w:tc>
          <w:tcPr>
            <w:tcW w:type="dxa" w:w="230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INV-0001</w:t>
            </w:r>
          </w:p>
        </w:tc>
      </w:tr>
      <w:tr>
        <w:trPr>
          <w:cantSplit/>
        </w:trPr>
        <w:tc>
          <w:tcPr>
            <w:tcW w:type="dxa" w:w="12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205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F-004</w:t>
            </w:r>
          </w:p>
        </w:tc>
        <w:tc>
          <w:tcPr>
            <w:tcW w:type="dxa" w:w="37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Candidate duplicate</w:t>
            </w:r>
          </w:p>
        </w:tc>
        <w:tc>
          <w:tcPr>
            <w:tcW w:type="dxa" w:w="230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ECO-0001</w:t>
            </w:r>
          </w:p>
        </w:tc>
      </w:tr>
      <w:tr>
        <w:trPr>
          <w:cantSplit/>
        </w:trPr>
        <w:tc>
          <w:tcPr>
            <w:tcW w:type="dxa" w:w="12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20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F-005</w:t>
            </w:r>
          </w:p>
        </w:tc>
        <w:tc>
          <w:tcPr>
            <w:tcW w:type="dxa" w:w="37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candidate in supplied data</w:t>
            </w:r>
          </w:p>
        </w:tc>
        <w:tc>
          <w:tcPr>
            <w:tcW w:type="dxa" w:w="230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128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205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F-006</w:t>
            </w:r>
          </w:p>
        </w:tc>
        <w:tc>
          <w:tcPr>
            <w:tcW w:type="dxa" w:w="37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w:t>
            </w:r>
          </w:p>
        </w:tc>
        <w:tc>
          <w:tcPr>
            <w:tcW w:type="dxa" w:w="230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128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205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F-007</w:t>
            </w:r>
          </w:p>
        </w:tc>
        <w:tc>
          <w:tcPr>
            <w:tcW w:type="dxa" w:w="37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required</w:t>
            </w:r>
          </w:p>
        </w:tc>
        <w:tc>
          <w:tcPr>
            <w:tcW w:type="dxa" w:w="230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bl>
    <w:p>
      <w:pPr>
        <w:spacing w:after="80"/>
      </w:pP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row</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Repeated supplier and invoice comparison key. Conflicting amount, invoice date. Equal supplier, signed amount, currency and invoice date. Different invoice numbers can still represent genuine separate invoices</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Repeated supplier and invoice comparison key. Conflicting amount, invoice date. Equal supplier, signed amount, currency and invoice date. Different invoice numbers can still represent genuine separate invoices</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Repeated supplier and invoice comparison key. Conflicting amount, invoice date</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Equal supplier, signed amount, currency and invoice date. Different invoice numbers can still represent genuine separate invoices</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candidate under these selected comparisons. This is not clearance of the invoice or payment.</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Unsupported or missing amount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Zero or negative amount. Review credits, corrections and zero-value records separately</w:t>
            </w:r>
          </w:p>
        </w:tc>
      </w:tr>
    </w:tbl>
    <w:p>
      <w:pPr>
        <w:pStyle w:val="Heading1"/>
      </w:pPr>
      <w:r>
        <w:t xml:space="preserve">Responsible review</w:t>
      </w:r>
    </w:p>
    <w:p>
      <w:pPr>
        <w:pStyle w:val="ListParagraph"/>
        <w:numPr>
          <w:ilvl w:val="0"/>
          <w:numId w:val="1"/>
        </w:numPr>
      </w:pPr>
      <w:r>
        <w:t xml:space="preserve">Row 2. Repeated supplier and invoice comparison key. Conflicting amount, invoice date. Equal supplier, signed amount, currency and invoice date. Different invoice numbers can still represent genuine separate invoices</w:t>
      </w:r>
    </w:p>
    <w:p>
      <w:pPr>
        <w:pStyle w:val="ListParagraph"/>
        <w:numPr>
          <w:ilvl w:val="0"/>
          <w:numId w:val="1"/>
        </w:numPr>
      </w:pPr>
      <w:r>
        <w:t xml:space="preserve">Row 3. Repeated supplier and invoice comparison key. Conflicting amount, invoice date. Equal supplier, signed amount, currency and invoice date. Different invoice numbers can still represent genuine separate invoices</w:t>
      </w:r>
    </w:p>
    <w:p>
      <w:pPr>
        <w:pStyle w:val="ListParagraph"/>
        <w:numPr>
          <w:ilvl w:val="0"/>
          <w:numId w:val="1"/>
        </w:numPr>
      </w:pPr>
      <w:r>
        <w:t xml:space="preserve">Row 4. Repeated supplier and invoice comparison key. Conflicting amount, invoice date</w:t>
      </w:r>
    </w:p>
    <w:p>
      <w:pPr>
        <w:pStyle w:val="ListParagraph"/>
        <w:numPr>
          <w:ilvl w:val="0"/>
          <w:numId w:val="1"/>
        </w:numPr>
      </w:pPr>
      <w:r>
        <w:t xml:space="preserve">Row 5. Equal supplier, signed amount, currency and invoice date. Different invoice numbers can still represent genuine separate invoices</w:t>
      </w:r>
    </w:p>
    <w:p>
      <w:pPr>
        <w:pStyle w:val="ListParagraph"/>
        <w:numPr>
          <w:ilvl w:val="0"/>
          <w:numId w:val="1"/>
        </w:numPr>
      </w:pPr>
      <w:r>
        <w:t xml:space="preserve">Row 7. Unsupported or missing amount</w:t>
      </w:r>
    </w:p>
    <w:p>
      <w:pPr>
        <w:pStyle w:val="ListParagraph"/>
        <w:numPr>
          <w:ilvl w:val="0"/>
          <w:numId w:val="1"/>
        </w:numPr>
      </w:pPr>
      <w:r>
        <w:t xml:space="preserve">Row 8. Zero or negative amount. Review credits, corrections and zero-value records separately</w:t>
      </w:r>
    </w:p>
    <w:p>
      <w:pPr>
        <w:pStyle w:val="Heading1"/>
        <w:keepNext/>
      </w:pPr>
      <w:r>
        <w:t xml:space="preserve">Assumptions</w:t>
      </w:r>
    </w:p>
    <w:p>
      <w:pPr>
        <w:pStyle w:val="ListParagraph"/>
        <w:keepNext w:val="false"/>
        <w:keepLines/>
        <w:numPr>
          <w:ilvl w:val="0"/>
          <w:numId w:val="1"/>
        </w:numPr>
      </w:pPr>
      <w:r>
        <w:t xml:space="preserve">Invoice headers, supplier identity, source completeness and comparison policy require customer review.</w:t>
      </w:r>
    </w:p>
    <w:p>
      <w:pPr>
        <w:pStyle w:val="Heading1"/>
        <w:keepNext/>
      </w:pPr>
      <w:r>
        <w:t xml:space="preserve">Limitations</w:t>
      </w:r>
    </w:p>
    <w:p>
      <w:pPr>
        <w:pStyle w:val="ListParagraph"/>
        <w:keepNext w:val="false"/>
        <w:keepLines/>
        <w:numPr>
          <w:ilvl w:val="0"/>
          <w:numId w:val="1"/>
        </w:numPr>
      </w:pPr>
      <w:r>
        <w:t xml:space="preserve">Candidates require original invoice and ledger review. Matching facts do not prove duplicate payment, fraud or recoverable loss. This tool does not delete invoices, approve or block payments, query a ledger, convert currency or authenticate documents.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Microsoft: Vendor invoices overview</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invoice checker. Invoice headers, duplicate-number review and transaction currency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tcMar>
              <w:top w:type="dxa" w:w="100"/>
              <w:left w:type="dxa" w:w="120"/>
              <w:bottom w:type="dxa" w:w="100"/>
              <w:right w:type="dxa" w:w="120"/>
            </w:tcMar>
            <w:vAlign w:val="center"/>
          </w:tcPr>
          <w:p>
            <w:pPr>
              <w:spacing w:after="0" w:before="0" w:line="260"/>
            </w:pPr>
            <w:hyperlink w:history="1" r:id="rIddrkvj4as6bbyegpvfyk_t">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Microsoft: Vendor invoice dates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Duplicate invoice checker. Invoice date meaning and source preparation</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shd w:fill="F7F7F7"/>
            <w:tcMar>
              <w:top w:type="dxa" w:w="100"/>
              <w:left w:type="dxa" w:w="120"/>
              <w:bottom w:type="dxa" w:w="100"/>
              <w:right w:type="dxa" w:w="120"/>
            </w:tcMar>
            <w:vAlign w:val="center"/>
          </w:tcPr>
          <w:p>
            <w:pPr>
              <w:spacing w:after="0" w:before="0" w:line="260"/>
            </w:pPr>
            <w:hyperlink w:history="1" r:id="rIdqspyi3dlacvdkt-pnz6h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Fictional sample. Requires tailoring.  |  </w:t>
    </w: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24-duplicate-invoice-checker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rkvj4as6bbyegpvfyk_t" Type="http://schemas.openxmlformats.org/officeDocument/2006/relationships/hyperlink" Target="https://learn.microsoft.com/en-us/dynamics365/finance/accounts-payable/vendor-invoices-overview" TargetMode="External"/><Relationship Id="rIdqspyi3dlacvdkt-pnz6ht" Type="http://schemas.openxmlformats.org/officeDocument/2006/relationships/hyperlink" Target="https://learn.microsoft.com/en-us/dynamics365/finance/accounts-payable/vendor-invoice-date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Duplicate invoice checker</dc:title>
  <dc:subject>Fictional sample. Requires tailoring and responsible review.</dc:subject>
  <dc:creator>Business Compliance Tools</dc:creator>
  <cp:keywords>compliance, evidence, us</cp:keywords>
  <dc:description>Duplicate invoice checker</dc:description>
  <cp:lastModifiedBy>Business Compliance Tools</cp:lastModifiedBy>
  <cp:revision>1</cp:revision>
  <dcterms:created xsi:type="dcterms:W3CDTF">2026-10-06T15:55:39.263Z</dcterms:created>
  <dcterms:modified xsi:type="dcterms:W3CDTF">2026-10-06T15:55:39.263Z</dcterms:modified>
</cp:coreProperties>
</file>

<file path=docProps/custom.xml><?xml version="1.0" encoding="utf-8"?>
<Properties xmlns="http://schemas.openxmlformats.org/officeDocument/2006/custom-properties" xmlns:vt="http://schemas.openxmlformats.org/officeDocument/2006/docPropsVTypes"/>
</file>