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20" w:before="100"/>
      </w:pPr>
      <w:r>
        <w:rPr>
          <w:rFonts w:ascii="Times New Roman" w:cs="Times New Roman" w:eastAsia="Times New Roman" w:hAnsi="Times New Roman"/>
          <w:b/>
          <w:bCs/>
          <w:color w:val="595959"/>
          <w:sz w:val="18"/>
          <w:szCs w:val="18"/>
        </w:rPr>
        <w:t xml:space="preserve">COMPLIANCE WORKING RECORD</w:t>
      </w:r>
    </w:p>
    <w:p>
      <w:pPr>
        <w:spacing w:after="100" w:line="500"/>
      </w:pPr>
      <w:r>
        <w:rPr>
          <w:rFonts w:ascii="Times New Roman" w:cs="Times New Roman" w:eastAsia="Times New Roman" w:hAnsi="Times New Roman"/>
          <w:b/>
          <w:bCs/>
          <w:color w:val="1F1F1F"/>
          <w:sz w:val="40"/>
          <w:szCs w:val="40"/>
        </w:rPr>
        <w:t xml:space="preserve">AI literacy programme</w:t>
      </w:r>
    </w:p>
    <w:p>
      <w:pPr>
        <w:spacing w:after="320" w:line="34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Northbridge Digital Services Ltd. Version 1.2. Editable AI literacy programme and measures record.</w:t>
      </w:r>
    </w:p>
    <w:p>
      <w:pPr>
        <w:pStyle w:val="Heading2"/>
      </w:pPr>
      <w:r>
        <w:t xml:space="preserve">Document control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249"/>
        <w:gridCol w:w="5777"/>
      </w:tblGrid>
      <w:tr>
        <w:trPr>
          <w:cantSplit/>
          <w:tblHeader/>
        </w:trPr>
        <w:tc>
          <w:tcPr>
            <w:tcW w:type="dxa" w:w="3249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Field</w:t>
            </w:r>
          </w:p>
        </w:tc>
        <w:tc>
          <w:tcPr>
            <w:tcW w:type="dxa" w:w="5777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Value</w:t>
            </w:r>
          </w:p>
        </w:tc>
      </w:tr>
      <w:tr>
        <w:trPr>
          <w:cantSplit/>
        </w:trPr>
        <w:tc>
          <w:tcPr>
            <w:tcW w:type="dxa" w:w="3249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Organisation</w:t>
            </w:r>
          </w:p>
        </w:tc>
        <w:tc>
          <w:tcPr>
            <w:tcW w:type="dxa" w:w="577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Northbridge Digital Services Ltd</w:t>
            </w:r>
          </w:p>
        </w:tc>
      </w:tr>
      <w:tr>
        <w:trPr>
          <w:cantSplit/>
        </w:trPr>
        <w:tc>
          <w:tcPr>
            <w:tcW w:type="dxa" w:w="3249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Document type</w:t>
            </w:r>
          </w:p>
        </w:tc>
        <w:tc>
          <w:tcPr>
            <w:tcW w:type="dxa" w:w="5777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AI literacy programme and measures record</w:t>
            </w:r>
          </w:p>
        </w:tc>
      </w:tr>
      <w:tr>
        <w:trPr>
          <w:cantSplit/>
        </w:trPr>
        <w:tc>
          <w:tcPr>
            <w:tcW w:type="dxa" w:w="3249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Document reference</w:t>
            </w:r>
          </w:p>
        </w:tc>
        <w:tc>
          <w:tcPr>
            <w:tcW w:type="dxa" w:w="577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northbridge-digital-services-ltd-ai-literacy-programme</w:t>
            </w:r>
          </w:p>
        </w:tc>
      </w:tr>
      <w:tr>
        <w:trPr>
          <w:cantSplit/>
        </w:trPr>
        <w:tc>
          <w:tcPr>
            <w:tcW w:type="dxa" w:w="3249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Jurisdiction</w:t>
            </w:r>
          </w:p>
        </w:tc>
        <w:tc>
          <w:tcPr>
            <w:tcW w:type="dxa" w:w="5777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European Union</w:t>
            </w:r>
          </w:p>
        </w:tc>
      </w:tr>
      <w:tr>
        <w:trPr>
          <w:cantSplit/>
        </w:trPr>
        <w:tc>
          <w:tcPr>
            <w:tcW w:type="dxa" w:w="3249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Version</w:t>
            </w:r>
          </w:p>
        </w:tc>
        <w:tc>
          <w:tcPr>
            <w:tcW w:type="dxa" w:w="577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1.2</w:t>
            </w:r>
          </w:p>
        </w:tc>
      </w:tr>
      <w:tr>
        <w:trPr>
          <w:cantSplit/>
        </w:trPr>
        <w:tc>
          <w:tcPr>
            <w:tcW w:type="dxa" w:w="3249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Status</w:t>
            </w:r>
          </w:p>
        </w:tc>
        <w:tc>
          <w:tcPr>
            <w:tcW w:type="dxa" w:w="5777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Ready for accountable review</w:t>
            </w:r>
          </w:p>
        </w:tc>
      </w:tr>
      <w:tr>
        <w:trPr>
          <w:cantSplit/>
        </w:trPr>
        <w:tc>
          <w:tcPr>
            <w:tcW w:type="dxa" w:w="3249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Classification</w:t>
            </w:r>
          </w:p>
        </w:tc>
        <w:tc>
          <w:tcPr>
            <w:tcW w:type="dxa" w:w="577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Internal governance record</w:t>
            </w:r>
          </w:p>
        </w:tc>
      </w:tr>
      <w:tr>
        <w:trPr>
          <w:cantSplit/>
        </w:trPr>
        <w:tc>
          <w:tcPr>
            <w:tcW w:type="dxa" w:w="3249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Prepared by</w:t>
            </w:r>
          </w:p>
        </w:tc>
        <w:tc>
          <w:tcPr>
            <w:tcW w:type="dxa" w:w="5777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AI governance lead</w:t>
            </w:r>
          </w:p>
        </w:tc>
      </w:tr>
      <w:tr>
        <w:trPr>
          <w:cantSplit/>
        </w:trPr>
        <w:tc>
          <w:tcPr>
            <w:tcW w:type="dxa" w:w="3249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Prepared on</w:t>
            </w:r>
          </w:p>
        </w:tc>
        <w:tc>
          <w:tcPr>
            <w:tcW w:type="dxa" w:w="577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5 August 2026</w:t>
            </w:r>
          </w:p>
        </w:tc>
      </w:tr>
      <w:tr>
        <w:trPr>
          <w:cantSplit/>
        </w:trPr>
        <w:tc>
          <w:tcPr>
            <w:tcW w:type="dxa" w:w="3249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Rule pack</w:t>
            </w:r>
          </w:p>
        </w:tc>
        <w:tc>
          <w:tcPr>
            <w:tcW w:type="dxa" w:w="5777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eu-ai-literacy-2026-08-02.1</w:t>
            </w:r>
          </w:p>
        </w:tc>
      </w:tr>
      <w:tr>
        <w:trPr>
          <w:cantSplit/>
        </w:trPr>
        <w:tc>
          <w:tcPr>
            <w:tcW w:type="dxa" w:w="3249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Sources reviewed</w:t>
            </w:r>
          </w:p>
        </w:tc>
        <w:tc>
          <w:tcPr>
            <w:tcW w:type="dxa" w:w="577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2 August 2026</w:t>
            </w:r>
          </w:p>
        </w:tc>
      </w:tr>
      <w:tr>
        <w:trPr>
          <w:cantSplit/>
        </w:trPr>
        <w:tc>
          <w:tcPr>
            <w:tcW w:type="dxa" w:w="3249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Generated</w:t>
            </w:r>
          </w:p>
        </w:tc>
        <w:tc>
          <w:tcPr>
            <w:tcW w:type="dxa" w:w="5777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7 August 2026</w:t>
            </w:r>
          </w:p>
        </w:tc>
      </w:tr>
    </w:tbl>
    <w:p>
      <w:pPr>
        <w:pStyle w:val="Heading1"/>
        <w:pageBreakBefore/>
      </w:pPr>
      <w:r>
        <w:t xml:space="preserve">Sample notice</w:t>
      </w:r>
    </w:p>
    <w:p>
      <w:r>
        <w:t xml:space="preserve">Fictional sample for inspection only. Replace every organisation, system, role, risk, measure, evidence, decision and review detail before operational use.</w:t>
      </w:r>
    </w:p>
    <w:p>
      <w:pPr>
        <w:pStyle w:val="Heading1"/>
      </w:pPr>
      <w:r>
        <w:t xml:space="preserve">Purpose and objectives</w:t>
      </w:r>
    </w:p>
    <w:p>
      <w:r>
        <w:t xml:space="preserve">People understand the AI systems they use, apply the recorded safeguards, maintain meaningful human review and escalate unreliable, discriminatory, confidential or otherwise harmful outputs.</w:t>
      </w:r>
    </w:p>
    <w:p>
      <w:pPr>
        <w:pStyle w:val="Heading1"/>
      </w:pPr>
      <w:r>
        <w:t xml:space="preserve">Approval and ownership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4367"/>
        <w:gridCol w:w="4659"/>
      </w:tblGrid>
      <w:tr>
        <w:trPr>
          <w:cantSplit/>
          <w:tblHeader/>
        </w:trPr>
        <w:tc>
          <w:tcPr>
            <w:tcW w:type="dxa" w:w="4367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Field</w:t>
            </w:r>
          </w:p>
        </w:tc>
        <w:tc>
          <w:tcPr>
            <w:tcW w:type="dxa" w:w="4659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Value</w:t>
            </w:r>
          </w:p>
        </w:tc>
      </w:tr>
      <w:tr>
        <w:trPr>
          <w:cantSplit/>
        </w:trPr>
        <w:tc>
          <w:tcPr>
            <w:tcW w:type="dxa" w:w="436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Named approver</w:t>
            </w:r>
          </w:p>
        </w:tc>
        <w:tc>
          <w:tcPr>
            <w:tcW w:type="dxa" w:w="4659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Technology and Risk Committee</w:t>
            </w:r>
          </w:p>
        </w:tc>
      </w:tr>
      <w:tr>
        <w:trPr>
          <w:cantSplit/>
        </w:trPr>
        <w:tc>
          <w:tcPr>
            <w:tcW w:type="dxa" w:w="4367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Approval decision</w:t>
            </w:r>
          </w:p>
        </w:tc>
        <w:tc>
          <w:tcPr>
            <w:tcW w:type="dxa" w:w="4659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Approved with conditions</w:t>
            </w:r>
          </w:p>
        </w:tc>
      </w:tr>
      <w:tr>
        <w:trPr>
          <w:cantSplit/>
        </w:trPr>
        <w:tc>
          <w:tcPr>
            <w:tcW w:type="dxa" w:w="436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Approval date</w:t>
            </w:r>
          </w:p>
        </w:tc>
        <w:tc>
          <w:tcPr>
            <w:tcW w:type="dxa" w:w="4659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1 August 2026</w:t>
            </w:r>
          </w:p>
        </w:tc>
      </w:tr>
      <w:tr>
        <w:trPr>
          <w:cantSplit/>
        </w:trPr>
        <w:tc>
          <w:tcPr>
            <w:tcW w:type="dxa" w:w="4367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Approval evidence reference</w:t>
            </w:r>
          </w:p>
        </w:tc>
        <w:tc>
          <w:tcPr>
            <w:tcW w:type="dxa" w:w="4659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TRC-2026-08-01, minute 6.2</w:t>
            </w:r>
          </w:p>
        </w:tc>
      </w:tr>
      <w:tr>
        <w:trPr>
          <w:cantSplit/>
        </w:trPr>
        <w:tc>
          <w:tcPr>
            <w:tcW w:type="dxa" w:w="436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Approval conditions or reasons</w:t>
            </w:r>
          </w:p>
        </w:tc>
        <w:tc>
          <w:tcPr>
            <w:tcW w:type="dxa" w:w="4659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Complete the scheduled technical assurance briefing by 20 August 2026 and retain attendance evidence before the programme is treated as fully implemented.</w:t>
            </w:r>
          </w:p>
        </w:tc>
      </w:tr>
      <w:tr>
        <w:trPr>
          <w:cantSplit/>
        </w:trPr>
        <w:tc>
          <w:tcPr>
            <w:tcW w:type="dxa" w:w="4367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Accountable owner</w:t>
            </w:r>
          </w:p>
        </w:tc>
        <w:tc>
          <w:tcPr>
            <w:tcW w:type="dxa" w:w="4659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AI governance lead</w:t>
            </w:r>
          </w:p>
        </w:tc>
      </w:tr>
      <w:tr>
        <w:trPr>
          <w:cantSplit/>
        </w:trPr>
        <w:tc>
          <w:tcPr>
            <w:tcW w:type="dxa" w:w="436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Review owner</w:t>
            </w:r>
          </w:p>
        </w:tc>
        <w:tc>
          <w:tcPr>
            <w:tcW w:type="dxa" w:w="4659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AI governance lead</w:t>
            </w:r>
          </w:p>
        </w:tc>
      </w:tr>
    </w:tbl>
    <w:p>
      <w:pPr>
        <w:pStyle w:val="Heading1"/>
      </w:pPr>
      <w:r>
        <w:t xml:space="preserve">Scope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4212"/>
        <w:gridCol w:w="4814"/>
      </w:tblGrid>
      <w:tr>
        <w:trPr>
          <w:cantSplit/>
          <w:tblHeader/>
        </w:trPr>
        <w:tc>
          <w:tcPr>
            <w:tcW w:type="dxa" w:w="4212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Field</w:t>
            </w:r>
          </w:p>
        </w:tc>
        <w:tc>
          <w:tcPr>
            <w:tcW w:type="dxa" w:w="4814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Value</w:t>
            </w:r>
          </w:p>
        </w:tc>
      </w:tr>
      <w:tr>
        <w:trPr>
          <w:cantSplit/>
        </w:trPr>
        <w:tc>
          <w:tcPr>
            <w:tcW w:type="dxa" w:w="421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Provider or deployer role</w:t>
            </w:r>
          </w:p>
        </w:tc>
        <w:tc>
          <w:tcPr>
            <w:tcW w:type="dxa" w:w="481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both</w:t>
            </w:r>
          </w:p>
        </w:tc>
      </w:tr>
      <w:tr>
        <w:trPr>
          <w:cantSplit/>
        </w:trPr>
        <w:tc>
          <w:tcPr>
            <w:tcW w:type="dxa" w:w="4212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AI systems</w:t>
            </w:r>
          </w:p>
        </w:tc>
        <w:tc>
          <w:tcPr>
            <w:tcW w:type="dxa" w:w="4814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SupportFlow customer assistant version 3.8 and DocumentRoute classifier version 2.4.</w:t>
            </w:r>
          </w:p>
        </w:tc>
      </w:tr>
      <w:tr>
        <w:trPr>
          <w:cantSplit/>
        </w:trPr>
        <w:tc>
          <w:tcPr>
            <w:tcW w:type="dxa" w:w="4212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People operating or using AI</w:t>
            </w:r>
          </w:p>
        </w:tc>
        <w:tc>
          <w:tcPr>
            <w:tcW w:type="dxa" w:w="4814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Customer-support agents, product managers, quality reviewers, platform engineers and contracted support reviewers who operate or use the systems on the organisation’s behalf.</w:t>
            </w:r>
          </w:p>
        </w:tc>
      </w:tr>
    </w:tbl>
    <w:p>
      <w:pPr>
        <w:pStyle w:val="Heading1"/>
        <w:pageBreakBefore/>
      </w:pPr>
      <w:r>
        <w:t xml:space="preserve">Programme design basis</w:t>
      </w:r>
    </w:p>
    <w:p>
      <w:r>
        <w:t xml:space="preserve">People operating or using AI: Customer-support agents, product managers, quality reviewers, platform engineers and contracted support reviewers who operate or use the systems on the organisation’s behalf.</w:t>
      </w:r>
    </w:p>
    <w:p>
      <w:r>
        <w:t xml:space="preserve">Technical knowledge and experience: The needs analysis separates occasional users, operational reviewers and technical teams. It records differing familiarity with generative outputs, confidence scores, prompt design and monitoring tools.</w:t>
      </w:r>
    </w:p>
    <w:p>
      <w:r>
        <w:t xml:space="preserve">Education and training: Prior induction, privacy and information-security learning is mapped by role. The programme records additional AI-specific learning for each audience and refresher requirements for contractors.</w:t>
      </w:r>
    </w:p>
    <w:p>
      <w:r>
        <w:t xml:space="preserve">Context of use: SupportFlow drafts responses that must be reviewed by an agent. DocumentRoute proposes internal routing labels and does not make final customer or employment decisions.</w:t>
      </w:r>
    </w:p>
    <w:p>
      <w:r>
        <w:t xml:space="preserve">People and groups affected: Customers may receive assistant-supported responses. Workers may be affected by routing and quality-review processes. The impact record identifies children, people with accessibility needs and people using translated support as groups requiring additional care.</w:t>
      </w:r>
    </w:p>
    <w:p>
      <w:r>
        <w:t xml:space="preserve">Risk-aware content: The programme addresses hallucination, automation bias, confidentiality, discriminatory output, inaccessible content, model drift, inappropriate reliance and failure to escalate uncertainty.</w:t>
      </w:r>
    </w:p>
    <w:p>
      <w:pPr>
        <w:pStyle w:val="Heading1"/>
      </w:pPr>
      <w:r>
        <w:t xml:space="preserve">Accessibility and participation</w:t>
      </w:r>
    </w:p>
    <w:p>
      <w:r>
        <w:t xml:space="preserve">Materials are available as accessible HTML, tagged PDF and facilitated sessions. People can request translated material, extra time or another reasonable adjustment through the learning team.</w:t>
      </w:r>
    </w:p>
    <w:p>
      <w:pPr>
        <w:pStyle w:val="Heading1"/>
      </w:pPr>
      <w:r>
        <w:t xml:space="preserve">Assessment and effectiveness</w:t>
      </w:r>
    </w:p>
    <w:p>
      <w:r>
        <w:t xml:space="preserve">Scenario exercises, short knowledge checks and sampled work reviews test practical understanding. The programme owner reviews incidents, escalations and quality findings by audience.</w:t>
      </w:r>
    </w:p>
    <w:p>
      <w:pPr>
        <w:pStyle w:val="Heading1"/>
      </w:pPr>
      <w:r>
        <w:t xml:space="preserve">Feedback and improvement</w:t>
      </w:r>
    </w:p>
    <w:p>
      <w:r>
        <w:t xml:space="preserve">Questions and suspected gaps are recorded in the governance service desk. The AI governance lead assigns an owner, records the decision and tracks any programme change to closure.</w:t>
      </w:r>
    </w:p>
    <w:p>
      <w:pPr>
        <w:pStyle w:val="Heading1"/>
      </w:pPr>
      <w:r>
        <w:t xml:space="preserve">Evidence retention</w:t>
      </w:r>
    </w:p>
    <w:p>
      <w:r>
        <w:t xml:space="preserve">Approved programme versions, source materials, participation evidence, assessments, committee decisions and review records are held in the governance repository for six years, subject to the corporate retention schedule.</w:t>
      </w:r>
    </w:p>
    <w:p>
      <w:pPr>
        <w:pStyle w:val="Heading1"/>
        <w:pageBreakBefore/>
      </w:pPr>
      <w:r>
        <w:t xml:space="preserve">Measures register</w:t>
      </w:r>
    </w:p>
    <w:p>
      <w:r>
        <w:t xml:space="preserve">The following measures were recorded for this programme. Update the editable entries as measures are approved, scheduled, delivered and reviewed.</w:t>
      </w:r>
    </w:p>
    <w:p>
      <w:pPr>
        <w:pStyle w:val="Heading1"/>
      </w:pPr>
      <w:r>
        <w:t xml:space="preserve">1. Customer-support AI use and escalation workshop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4046"/>
        <w:gridCol w:w="4980"/>
      </w:tblGrid>
      <w:tr>
        <w:trPr>
          <w:cantSplit/>
          <w:tblHeader/>
        </w:trPr>
        <w:tc>
          <w:tcPr>
            <w:tcW w:type="dxa" w:w="4046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Field</w:t>
            </w:r>
          </w:p>
        </w:tc>
        <w:tc>
          <w:tcPr>
            <w:tcW w:type="dxa" w:w="4980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Value</w:t>
            </w:r>
          </w:p>
        </w:tc>
      </w:tr>
      <w:tr>
        <w:trPr>
          <w:cantSplit/>
        </w:trPr>
        <w:tc>
          <w:tcPr>
            <w:tcW w:type="dxa" w:w="404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Status</w:t>
            </w:r>
          </w:p>
        </w:tc>
        <w:tc>
          <w:tcPr>
            <w:tcW w:type="dxa" w:w="49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Delivered</w:t>
            </w:r>
          </w:p>
        </w:tc>
      </w:tr>
      <w:tr>
        <w:trPr>
          <w:cantSplit/>
        </w:trPr>
        <w:tc>
          <w:tcPr>
            <w:tcW w:type="dxa" w:w="404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Audience</w:t>
            </w:r>
          </w:p>
        </w:tc>
        <w:tc>
          <w:tcPr>
            <w:tcW w:type="dxa" w:w="498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Customer-support agents and contracted reviewers</w:t>
            </w:r>
          </w:p>
        </w:tc>
      </w:tr>
      <w:tr>
        <w:trPr>
          <w:cantSplit/>
        </w:trPr>
        <w:tc>
          <w:tcPr>
            <w:tcW w:type="dxa" w:w="404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Systems covered</w:t>
            </w:r>
          </w:p>
        </w:tc>
        <w:tc>
          <w:tcPr>
            <w:tcW w:type="dxa" w:w="49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SupportFlow customer assistant version 3.8</w:t>
            </w:r>
          </w:p>
        </w:tc>
      </w:tr>
      <w:tr>
        <w:trPr>
          <w:cantSplit/>
        </w:trPr>
        <w:tc>
          <w:tcPr>
            <w:tcW w:type="dxa" w:w="404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Owner</w:t>
            </w:r>
          </w:p>
        </w:tc>
        <w:tc>
          <w:tcPr>
            <w:tcW w:type="dxa" w:w="498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Customer operations learning lead</w:t>
            </w:r>
          </w:p>
        </w:tc>
      </w:tr>
      <w:tr>
        <w:trPr>
          <w:cantSplit/>
        </w:trPr>
        <w:tc>
          <w:tcPr>
            <w:tcW w:type="dxa" w:w="404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Delivery or scheduled date</w:t>
            </w:r>
          </w:p>
        </w:tc>
        <w:tc>
          <w:tcPr>
            <w:tcW w:type="dxa" w:w="49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28 July 2026</w:t>
            </w:r>
          </w:p>
        </w:tc>
      </w:tr>
      <w:tr>
        <w:trPr>
          <w:cantSplit/>
        </w:trPr>
        <w:tc>
          <w:tcPr>
            <w:tcW w:type="dxa" w:w="404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Learning coverage</w:t>
            </w:r>
          </w:p>
        </w:tc>
        <w:tc>
          <w:tcPr>
            <w:tcW w:type="dxa" w:w="498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System purpose and limits, hallucination, confidentiality, discrimination, accessible communication, human review, prohibited uses and escalation.</w:t>
            </w:r>
          </w:p>
        </w:tc>
      </w:tr>
      <w:tr>
        <w:trPr>
          <w:cantSplit/>
        </w:trPr>
        <w:tc>
          <w:tcPr>
            <w:tcW w:type="dxa" w:w="404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Materials reference</w:t>
            </w:r>
          </w:p>
        </w:tc>
        <w:tc>
          <w:tcPr>
            <w:tcW w:type="dxa" w:w="49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LMS-AI-SUPPORT-2026-03, facilitator pack version 2.1</w:t>
            </w:r>
          </w:p>
        </w:tc>
      </w:tr>
      <w:tr>
        <w:trPr>
          <w:cantSplit/>
        </w:trPr>
        <w:tc>
          <w:tcPr>
            <w:tcW w:type="dxa" w:w="404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Participation reference</w:t>
            </w:r>
          </w:p>
        </w:tc>
        <w:tc>
          <w:tcPr>
            <w:tcW w:type="dxa" w:w="498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LMS-COMPLETION-2026-07-28 and workshop attendance register</w:t>
            </w:r>
          </w:p>
        </w:tc>
      </w:tr>
    </w:tbl>
    <w:p>
      <w:pPr>
        <w:pStyle w:val="Heading1"/>
        <w:pageBreakBefore/>
      </w:pPr>
      <w:r>
        <w:t xml:space="preserve">2. Technical assurance and monitoring briefing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4046"/>
        <w:gridCol w:w="4980"/>
      </w:tblGrid>
      <w:tr>
        <w:trPr>
          <w:cantSplit/>
          <w:tblHeader/>
        </w:trPr>
        <w:tc>
          <w:tcPr>
            <w:tcW w:type="dxa" w:w="4046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Field</w:t>
            </w:r>
          </w:p>
        </w:tc>
        <w:tc>
          <w:tcPr>
            <w:tcW w:type="dxa" w:w="4980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Value</w:t>
            </w:r>
          </w:p>
        </w:tc>
      </w:tr>
      <w:tr>
        <w:trPr>
          <w:cantSplit/>
        </w:trPr>
        <w:tc>
          <w:tcPr>
            <w:tcW w:type="dxa" w:w="404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Status</w:t>
            </w:r>
          </w:p>
        </w:tc>
        <w:tc>
          <w:tcPr>
            <w:tcW w:type="dxa" w:w="49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Scheduled</w:t>
            </w:r>
          </w:p>
        </w:tc>
      </w:tr>
      <w:tr>
        <w:trPr>
          <w:cantSplit/>
        </w:trPr>
        <w:tc>
          <w:tcPr>
            <w:tcW w:type="dxa" w:w="404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Audience</w:t>
            </w:r>
          </w:p>
        </w:tc>
        <w:tc>
          <w:tcPr>
            <w:tcW w:type="dxa" w:w="498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Platform engineers, product managers and quality reviewers</w:t>
            </w:r>
          </w:p>
        </w:tc>
      </w:tr>
      <w:tr>
        <w:trPr>
          <w:cantSplit/>
        </w:trPr>
        <w:tc>
          <w:tcPr>
            <w:tcW w:type="dxa" w:w="404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Systems covered</w:t>
            </w:r>
          </w:p>
        </w:tc>
        <w:tc>
          <w:tcPr>
            <w:tcW w:type="dxa" w:w="49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SupportFlow version 3.8 and DocumentRoute version 2.4</w:t>
            </w:r>
          </w:p>
        </w:tc>
      </w:tr>
      <w:tr>
        <w:trPr>
          <w:cantSplit/>
        </w:trPr>
        <w:tc>
          <w:tcPr>
            <w:tcW w:type="dxa" w:w="404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Owner</w:t>
            </w:r>
          </w:p>
        </w:tc>
        <w:tc>
          <w:tcPr>
            <w:tcW w:type="dxa" w:w="498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Machine learning assurance lead</w:t>
            </w:r>
          </w:p>
        </w:tc>
      </w:tr>
      <w:tr>
        <w:trPr>
          <w:cantSplit/>
        </w:trPr>
        <w:tc>
          <w:tcPr>
            <w:tcW w:type="dxa" w:w="404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Delivery or scheduled date</w:t>
            </w:r>
          </w:p>
        </w:tc>
        <w:tc>
          <w:tcPr>
            <w:tcW w:type="dxa" w:w="49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20 August 2026</w:t>
            </w:r>
          </w:p>
        </w:tc>
      </w:tr>
      <w:tr>
        <w:trPr>
          <w:cantSplit/>
        </w:trPr>
        <w:tc>
          <w:tcPr>
            <w:tcW w:type="dxa" w:w="404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Learning coverage</w:t>
            </w:r>
          </w:p>
        </w:tc>
        <w:tc>
          <w:tcPr>
            <w:tcW w:type="dxa" w:w="498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Model limitations, test evidence, monitoring thresholds, incident response, transparency controls, human oversight and change approval.</w:t>
            </w:r>
          </w:p>
        </w:tc>
      </w:tr>
      <w:tr>
        <w:trPr>
          <w:cantSplit/>
        </w:trPr>
        <w:tc>
          <w:tcPr>
            <w:tcW w:type="dxa" w:w="404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Materials reference</w:t>
            </w:r>
          </w:p>
        </w:tc>
        <w:tc>
          <w:tcPr>
            <w:tcW w:type="dxa" w:w="49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AIG-BRIEF-2026-08, approved agenda and technical assurance workbook</w:t>
            </w:r>
          </w:p>
        </w:tc>
      </w:tr>
      <w:tr>
        <w:trPr>
          <w:cantSplit/>
        </w:trPr>
        <w:tc>
          <w:tcPr>
            <w:tcW w:type="dxa" w:w="404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Participation reference</w:t>
            </w:r>
          </w:p>
        </w:tc>
        <w:tc>
          <w:tcPr>
            <w:tcW w:type="dxa" w:w="498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Not recorded</w:t>
            </w:r>
          </w:p>
        </w:tc>
      </w:tr>
    </w:tbl>
    <w:p>
      <w:pPr>
        <w:pStyle w:val="Heading1"/>
      </w:pPr>
      <w:r>
        <w:t xml:space="preserve">Review and change control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2880"/>
        <w:gridCol w:w="6146"/>
      </w:tblGrid>
      <w:tr>
        <w:trPr>
          <w:cantSplit/>
          <w:tblHeader/>
        </w:trPr>
        <w:tc>
          <w:tcPr>
            <w:tcW w:type="dxa" w:w="2880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Field</w:t>
            </w:r>
          </w:p>
        </w:tc>
        <w:tc>
          <w:tcPr>
            <w:tcW w:type="dxa" w:w="6146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Value</w:t>
            </w:r>
          </w:p>
        </w:tc>
      </w:tr>
      <w:tr>
        <w:trPr>
          <w:cantSplit/>
        </w:trPr>
        <w:tc>
          <w:tcPr>
            <w:tcW w:type="dxa" w:w="28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Review owner</w:t>
            </w:r>
          </w:p>
        </w:tc>
        <w:tc>
          <w:tcPr>
            <w:tcW w:type="dxa" w:w="614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AI governance lead</w:t>
            </w:r>
          </w:p>
        </w:tc>
      </w:tr>
      <w:tr>
        <w:trPr>
          <w:cantSplit/>
        </w:trPr>
        <w:tc>
          <w:tcPr>
            <w:tcW w:type="dxa" w:w="2880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Next review</w:t>
            </w:r>
          </w:p>
        </w:tc>
        <w:tc>
          <w:tcPr>
            <w:tcW w:type="dxa" w:w="6146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5 November 2026</w:t>
            </w:r>
          </w:p>
        </w:tc>
      </w:tr>
      <w:tr>
        <w:trPr>
          <w:cantSplit/>
        </w:trPr>
        <w:tc>
          <w:tcPr>
            <w:tcW w:type="dxa" w:w="28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Review triggers</w:t>
            </w:r>
          </w:p>
        </w:tc>
        <w:tc>
          <w:tcPr>
            <w:tcW w:type="dxa" w:w="614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New or materially changed systems, new use cases, incidents, monitoring findings, role changes, affected-group findings and changes to applicable official material.</w:t>
            </w:r>
          </w:p>
        </w:tc>
      </w:tr>
    </w:tbl>
    <w:p>
      <w:pPr>
        <w:pStyle w:val="Heading1"/>
        <w:pageBreakBefore/>
      </w:pPr>
      <w:r>
        <w:t xml:space="preserve">Open actions and review gaps</w:t>
      </w:r>
    </w:p>
    <w:p>
      <w:pPr>
        <w:pStyle w:val="ListParagraph"/>
        <w:numPr>
          <w:ilvl w:val="0"/>
          <w:numId w:val="1"/>
        </w:numPr>
      </w:pPr>
      <w:r>
        <w:t xml:space="preserve">No unresolved record gaps were produced by this check.</w:t>
      </w:r>
    </w:p>
    <w:p>
      <w:pPr>
        <w:pStyle w:val="Heading1"/>
        <w:keepNext/>
      </w:pPr>
      <w:r>
        <w:t xml:space="preserve">Limitations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Amended Article 4 does not require a specific literacy level, knowledge test, training format or certificate.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This tool records measures and evidence. It does not decide whether the measures are appropriate for the organisation’s systems, risks or affected people.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The Commission says internal records may be kept, but Article 4 does not prescribe a certificate or standard evidence format.</w:t>
      </w:r>
    </w:p>
    <w:p>
      <w:pPr>
        <w:pStyle w:val="ListParagraph"/>
        <w:keepNext/>
        <w:keepLines/>
        <w:numPr>
          <w:ilvl w:val="0"/>
          <w:numId w:val="1"/>
        </w:numPr>
      </w:pPr>
      <w:r>
        <w:t xml:space="preserve">Examples in the Commission repository do not create a presumption of compliance.</w:t>
      </w:r>
    </w:p>
    <w:p>
      <w:pPr>
        <w:pStyle w:val="ListParagraph"/>
        <w:keepNext w:val="false"/>
        <w:keepLines/>
        <w:numPr>
          <w:ilvl w:val="0"/>
          <w:numId w:val="1"/>
        </w:numPr>
      </w:pPr>
      <w:r>
        <w:t xml:space="preserve">Separate training and human-oversight duties may apply to high-risk AI systems and are outside this pack.</w:t>
      </w:r>
    </w:p>
    <w:p>
      <w:pPr>
        <w:pStyle w:val="Heading1"/>
        <w:pageBreakBefore/>
      </w:pPr>
      <w:r>
        <w:t xml:space="preserve">Official sources</w:t>
      </w:r>
    </w:p>
    <w:tbl>
      <w:tblPr>
        <w:tblW w:type="dxa" w:w="9026"/>
        <w:tblInd w:type="dxa" w:w="120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D9D9D9" w:sz="2"/>
          <w:insideV w:val="single" w:color="D9D9D9" w:sz="2"/>
        </w:tblBorders>
        <w:tblLayout w:type="fixed"/>
      </w:tblPr>
      <w:tblGrid>
        <w:gridCol w:w="3105"/>
        <w:gridCol w:w="2717"/>
        <w:gridCol w:w="1261"/>
        <w:gridCol w:w="1943"/>
      </w:tblGrid>
      <w:tr>
        <w:trPr>
          <w:cantSplit/>
          <w:tblHeader/>
        </w:trPr>
        <w:tc>
          <w:tcPr>
            <w:tcW w:type="dxa" w:w="3105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Source</w:t>
            </w:r>
          </w:p>
        </w:tc>
        <w:tc>
          <w:tcPr>
            <w:tcW w:type="dxa" w:w="2717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Provision</w:t>
            </w:r>
          </w:p>
        </w:tc>
        <w:tc>
          <w:tcPr>
            <w:tcW w:type="dxa" w:w="1261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Reviewed</w:t>
            </w:r>
          </w:p>
        </w:tc>
        <w:tc>
          <w:tcPr>
            <w:tcW w:type="dxa" w:w="1943"/>
            <w:shd w:fill="E7E6E6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1F1F"/>
                <w:sz w:val="20"/>
                <w:szCs w:val="20"/>
              </w:rPr>
              <w:t xml:space="preserve">Link</w:t>
            </w:r>
          </w:p>
        </w:tc>
      </w:tr>
      <w:tr>
        <w:trPr>
          <w:cantSplit/>
        </w:trPr>
        <w:tc>
          <w:tcPr>
            <w:tcW w:type="dxa" w:w="3105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EUR-Lex: Regulation (EU) 2026/1744 amending Regulation (EU) 2024/1689</w:t>
            </w:r>
          </w:p>
        </w:tc>
        <w:tc>
          <w:tcPr>
            <w:tcW w:type="dxa" w:w="271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Article 4(1)</w:t>
            </w:r>
          </w:p>
        </w:tc>
        <w:tc>
          <w:tcPr>
            <w:tcW w:type="dxa" w:w="126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2 August 2026</w:t>
            </w:r>
          </w:p>
        </w:tc>
        <w:tc>
          <w:tcPr>
            <w:tcW w:type="dxa" w:w="194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bvsmwsvgnqptedttwvcuy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105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European Commission: AI literacy questions and answers</w:t>
            </w:r>
          </w:p>
        </w:tc>
        <w:tc>
          <w:tcPr>
            <w:tcW w:type="dxa" w:w="2717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Article 4 practical guidance</w:t>
            </w:r>
          </w:p>
        </w:tc>
        <w:tc>
          <w:tcPr>
            <w:tcW w:type="dxa" w:w="1261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2 August 2026</w:t>
            </w:r>
          </w:p>
        </w:tc>
        <w:tc>
          <w:tcPr>
            <w:tcW w:type="dxa" w:w="1943"/>
            <w:shd w:fill="F7F7F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vacrebahkgricnzh2frsr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  <w:tr>
        <w:trPr>
          <w:cantSplit/>
        </w:trPr>
        <w:tc>
          <w:tcPr>
            <w:tcW w:type="dxa" w:w="3105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European Commission: Repository of AI literacy practices</w:t>
            </w:r>
          </w:p>
        </w:tc>
        <w:tc>
          <w:tcPr>
            <w:tcW w:type="dxa" w:w="2717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tcW w:type="dxa" w:w="1261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333333"/>
                <w:sz w:val="20"/>
                <w:szCs w:val="20"/>
              </w:rPr>
              <w:t xml:space="preserve">2 August 2026</w:t>
            </w:r>
          </w:p>
        </w:tc>
        <w:tc>
          <w:tcPr>
            <w:tcW w:type="dxa" w:w="1943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spacing w:after="0" w:before="0" w:line="260"/>
            </w:pPr>
            <w:hyperlink w:history="1" r:id="rIdnsztkywffuwmdcqeg3gfg">
              <w:r>
                <w:rPr>
                  <w:rFonts w:ascii="Times New Roman" w:cs="Times New Roman" w:eastAsia="Times New Roman" w:hAnsi="Times New Roman"/>
                  <w:b w:val="false"/>
                  <w:bCs w:val="false"/>
                  <w:color w:val="1F1F1F"/>
                  <w:sz w:val="20"/>
                  <w:szCs w:val="20"/>
                  <w:u w:val="single"/>
                </w:rPr>
                <w:t xml:space="preserve">Open official source</w:t>
              </w:r>
            </w:hyperlink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Times New Roman" w:cs="Times New Roman" w:eastAsia="Times New Roman" w:hAnsi="Times New Roman"/>
        <w:color w:val="595959"/>
        <w:sz w:val="17"/>
        <w:szCs w:val="17"/>
      </w:rPr>
      <w:t xml:space="preserve">Page </w:t>
    </w:r>
    <w:r>
      <w:rPr>
        <w:rFonts w:ascii="Times New Roman" w:cs="Times New Roman" w:eastAsia="Times New Roman" w:hAnsi="Times New Roman"/>
        <w:color w:val="595959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9D9D9" w:sz="2"/>
      </w:pBdr>
      <w:spacing w:after="80"/>
    </w:pPr>
    <w:r>
      <w:rPr>
        <w:rFonts w:ascii="Times New Roman" w:cs="Times New Roman" w:eastAsia="Times New Roman" w:hAnsi="Times New Roman"/>
        <w:color w:val="595959"/>
        <w:sz w:val="17"/>
        <w:szCs w:val="17"/>
      </w:rPr>
      <w:t xml:space="preserve">Business Compliance Tools</w:t>
    </w:r>
    <w:r>
      <w:rPr>
        <w:rFonts w:ascii="Times New Roman" w:cs="Times New Roman" w:eastAsia="Times New Roman" w:hAnsi="Times New Roman"/>
        <w:color w:val="595959"/>
        <w:sz w:val="17"/>
        <w:szCs w:val="17"/>
      </w:rPr>
      <w:t xml:space="preserve">  |  northbridge-digital-services-ltd-ai-literacy-programme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1F1F1F"/>
        <w:sz w:val="22"/>
        <w:szCs w:val="22"/>
      </w:rPr>
    </w:rPrDefault>
    <w:pPrDefault>
      <w:pPr>
        <w:spacing w:after="120" w:before="0"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/>
      <w:spacing w:after="160" w:before="320"/>
    </w:pPr>
    <w:rPr>
      <w:rFonts w:ascii="Times New Roman" w:cs="Times New Roman" w:eastAsia="Times New Roman" w:hAnsi="Times New Roman"/>
      <w:b/>
      <w:bCs/>
      <w:color w:val="1F1F1F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spacing w:after="120" w:before="240"/>
    </w:pPr>
    <w:rPr>
      <w:rFonts w:ascii="Times New Roman" w:cs="Times New Roman" w:eastAsia="Times New Roman" w:hAnsi="Times New Roman"/>
      <w:b/>
      <w:bCs/>
      <w:color w:val="1F1F1F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bvsmwsvgnqptedttwvcuy" Type="http://schemas.openxmlformats.org/officeDocument/2006/relationships/hyperlink" Target="https://eur-lex.europa.eu/legal-content/EN/TXT/?uri=CELEX%3A32026R1744" TargetMode="External"/><Relationship Id="rIdvacrebahkgricnzh2frsr" Type="http://schemas.openxmlformats.org/officeDocument/2006/relationships/hyperlink" Target="https://digital-strategy.ec.europa.eu/en/faqs/ai-literacy-questions-answers" TargetMode="External"/><Relationship Id="rIdnsztkywffuwmdcqeg3gfg" Type="http://schemas.openxmlformats.org/officeDocument/2006/relationships/hyperlink" Target="https://digital-strategy.ec.europa.eu/en/policies/repository-ai-literacy-practices" TargetMode="External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literacy programme</dc:title>
  <dc:subject>Northbridge Digital Services Ltd. Version 1.2. Editable AI literacy programme and measures record.</dc:subject>
  <dc:creator>Business Compliance Tools</dc:creator>
  <cp:keywords>compliance, evidence, eu</cp:keywords>
  <dc:description>AI literacy programme and measures record</dc:description>
  <cp:lastModifiedBy>Business Compliance Tools</cp:lastModifiedBy>
  <cp:revision>1</cp:revision>
  <dcterms:created xsi:type="dcterms:W3CDTF">2026-08-24T13:15:28.653Z</dcterms:created>
  <dcterms:modified xsi:type="dcterms:W3CDTF">2026-08-24T13:15:28.653Z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