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Redacted disclosure bundle builder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Redacted disclosure bundle builder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FICTIONAL-REVIEW-1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Mechanical review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records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2026-10-08.evidence-control.1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Package only explicitly approved customer-supplied disclosure copies and record their links to preserved original files.</w:t>
      </w:r>
    </w:p>
    <w:p>
      <w:r>
        <w:t xml:space="preserve">Require distinct original and copy IDs, different bytes, a declared redaction review, named approver, approval date and purpose. Include only qualifying copies in the disclosure ZIP. Never redact automatically or certify that sensitive content has been removed.</w:t>
      </w:r>
    </w:p>
    <w:p>
      <w:r>
        <w:t xml:space="preserve">Customer facts, source bytes, file metadata, approvals and declared dates stay in this browser. Mechanical findings do not authenticate provenance, approval authority, source correctness, legal applicability, redaction completeness or unrecorded events. No remote source is fetched, file is deleted or external provider is called.</w:t>
      </w:r>
    </w:p>
    <w:p>
      <w:pPr>
        <w:pStyle w:val="Heading1"/>
      </w:pPr>
      <w:r>
        <w:t xml:space="preserve">Declared review scope</w:t>
      </w:r>
    </w:p>
    <w:p>
      <w:r>
        <w:t xml:space="preserve">Fictional evidence population. Replace every fact before use.</w:t>
      </w:r>
    </w:p>
    <w:p>
      <w:pPr>
        <w:pStyle w:val="Heading1"/>
      </w:pPr>
      <w:r>
        <w:t xml:space="preserve">Review findings</w:t>
      </w:r>
    </w:p>
    <w:p>
      <w:r>
        <w:t xml:space="preserve">3 source-linked findings. Indexed 2, Copy approved by declaration 1.</w:t>
      </w:r>
    </w:p>
    <w:p>
      <w:r>
        <w:t xml:space="preserve">Formal report findings display at most 100 rows and 1000 characters per field. Complete accepted inputs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782"/>
        <w:gridCol w:w="891"/>
        <w:gridCol w:w="3120"/>
        <w:gridCol w:w="3567"/>
      </w:tblGrid>
      <w:tr>
        <w:trPr>
          <w:cantSplit/>
          <w:tblHeader/>
        </w:trPr>
        <w:tc>
          <w:tcPr>
            <w:tcW w:type="dxa" w:w="178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8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56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178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file</w:t>
            </w:r>
          </w:p>
        </w:tc>
        <w:tc>
          <w:tcPr>
            <w:tcW w:type="dxa" w:w="8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Indexed</w:t>
            </w:r>
          </w:p>
        </w:tc>
        <w:tc>
          <w:tcPr>
            <w:tcW w:type="dxa" w:w="356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Provenance remains customer-declared.</w:t>
            </w:r>
          </w:p>
        </w:tc>
      </w:tr>
      <w:tr>
        <w:trPr>
          <w:cantSplit/>
        </w:trPr>
        <w:tc>
          <w:tcPr>
            <w:tcW w:type="dxa" w:w="178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file</w:t>
            </w:r>
          </w:p>
        </w:tc>
        <w:tc>
          <w:tcPr>
            <w:tcW w:type="dxa" w:w="8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Indexed</w:t>
            </w:r>
          </w:p>
        </w:tc>
        <w:tc>
          <w:tcPr>
            <w:tcW w:type="dxa" w:w="356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Provenance remains customer-declared.</w:t>
            </w:r>
          </w:p>
        </w:tc>
      </w:tr>
      <w:tr>
        <w:trPr>
          <w:cantSplit/>
        </w:trPr>
        <w:tc>
          <w:tcPr>
            <w:tcW w:type="dxa" w:w="178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 copy</w:t>
            </w:r>
          </w:p>
        </w:tc>
        <w:tc>
          <w:tcPr>
            <w:tcW w:type="dxa" w:w="8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D1</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Copy approved by declaration</w:t>
            </w:r>
          </w:p>
        </w:tc>
        <w:tc>
          <w:tcPr>
            <w:tcW w:type="dxa" w:w="356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Only the customer-supplied approved copy is included. Redaction completeness remains unverified.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98"/>
        <w:gridCol w:w="3369"/>
        <w:gridCol w:w="998"/>
        <w:gridCol w:w="3995"/>
      </w:tblGrid>
      <w:tr>
        <w:trPr>
          <w:cantSplit/>
          <w:tblHeader/>
        </w:trPr>
        <w:tc>
          <w:tcPr>
            <w:tcW w:type="dxa" w:w="9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99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fictional-approved-copy.txt</w:t>
            </w:r>
          </w:p>
        </w:tc>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66</w:t>
            </w:r>
          </w:p>
        </w:tc>
        <w:tc>
          <w:tcPr>
            <w:tcW w:type="dxa" w:w="399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7e84eff56d0bd18a809245740694af5bbd53d4fcd638bc23e1e19a7e33f4c965</w:t>
            </w:r>
          </w:p>
        </w:tc>
      </w:tr>
    </w:tbl>
    <w:p>
      <w:pPr>
        <w:pStyle w:val="Heading1"/>
      </w:pPr>
      <w:r>
        <w:t xml:space="preserve">Unresolved items and limits</w:t>
      </w:r>
    </w:p>
    <w:p>
      <w:pPr>
        <w:pStyle w:val="ListParagraph"/>
        <w:numPr>
          <w:ilvl w:val="0"/>
          <w:numId w:val="1"/>
        </w:numPr>
      </w:pPr>
      <w:r>
        <w:t xml:space="preserve">Customer statements, authority and source correctness remain unverified.</w:t>
      </w:r>
    </w:p>
    <w:p>
      <w:pPr>
        <w:pStyle w:val="Heading1"/>
        <w:keepNext/>
      </w:pPr>
      <w:r>
        <w:t xml:space="preserve">Limitations</w:t>
      </w:r>
    </w:p>
    <w:p>
      <w:pPr>
        <w:pStyle w:val="ListParagraph"/>
        <w:keepNext w:val="false"/>
        <w:keepLines/>
        <w:numPr>
          <w:ilvl w:val="0"/>
          <w:numId w:val="1"/>
        </w:numPr>
      </w:pPr>
      <w:r>
        <w:t xml:space="preserve">Customer facts, source bytes, file metadata, approvals and declared dates stay in this browser. Mechanical findings do not authenticate provenance, approval authority, source correctness, legal applicability, redaction completeness or unrecorded events. No remote source is fetched, file is deleted or external provider is called.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Secure Hash Standard</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 file and event digests detect changes relative to retained digests. They do not authenticate source facts, approval authority, event timing, a rewritten log or legal requirements.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c>
          <w:tcPr>
            <w:tcW w:type="dxa" w:w="1892"/>
            <w:tcMar>
              <w:top w:type="dxa" w:w="100"/>
              <w:left w:type="dxa" w:w="120"/>
              <w:bottom w:type="dxa" w:w="100"/>
              <w:right w:type="dxa" w:w="120"/>
            </w:tcMar>
            <w:vAlign w:val="center"/>
          </w:tcPr>
          <w:p>
            <w:pPr>
              <w:spacing w:after="0" w:before="0" w:line="260"/>
            </w:pPr>
            <w:hyperlink w:history="1" r:id="rIdi6icglss_hvxifbg9tjl_">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FICTIONAL-REVIEW-1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i6icglss_hvxifbg9tjl_" Type="http://schemas.openxmlformats.org/officeDocument/2006/relationships/hyperlink" Target="https://csrc.nist.gov/pubs/fips/180-4/upd1/fina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Redacted disclosure bundle builder</dc:title>
  <dc:subject>Fictional sample. Requires tailoring and responsible review.</dc:subject>
  <dc:creator>Business Compliance Tools</dc:creator>
  <cp:keywords>compliance, evidence, us</cp:keywords>
  <dc:description>Redacted disclosure bundle builder</dc:description>
  <cp:lastModifiedBy>Business Compliance Tools</cp:lastModifiedBy>
  <cp:revision>1</cp:revision>
  <dcterms:created xsi:type="dcterms:W3CDTF">2026-10-08T21:16:11.275Z</dcterms:created>
  <dcterms:modified xsi:type="dcterms:W3CDTF">2026-10-08T21:16:11.275Z</dcterms:modified>
</cp:coreProperties>
</file>

<file path=docProps/custom.xml><?xml version="1.0" encoding="utf-8"?>
<Properties xmlns="http://schemas.openxmlformats.org/officeDocument/2006/custom-properties" xmlns:vt="http://schemas.openxmlformats.org/officeDocument/2006/docPropsVTypes"/>
</file>