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Beneficial ownership evidence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an original-source ownership and control workpaper, exact supplied-graph natural-person shares and missing-information questions.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Validate distinct entities, one direct relationship per owner and entity, totals at most 100 percent and an acyclic graph. Sum exact rational natural-person paths, retain exact fractions and compare the customer-approved threshold without rounding the comparison. Separate declared control roles. Incomplete or unverified ancestry prevents a complete ownership finding.</w:t>
      </w:r>
    </w:p>
    <w:p>
      <w:r>
        <w:t xml:space="preserve">Up to 100 entities and relationships per table. Cycles, trust look-through, nominee or disputed ownership are unresolved. The customer selects applicability, ownership threshold and control rules.</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ownership relationship (P1 -&gt; E1)</w:t>
      </w:r>
    </w:p>
    <w:p>
      <w:r>
        <w:t xml:space="preserve">State. Relationship documented</w:t>
      </w:r>
    </w:p>
    <w:p>
      <w:r>
        <w:t xml:space="preserve">Customer-verified direct ownership percentage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12"/>
        <w:gridCol w:w="3248"/>
      </w:tblGrid>
      <w:tr>
        <w:trPr>
          <w:cantSplit/>
          <w:tblHeader/>
        </w:trPr>
        <w:tc>
          <w:tcPr>
            <w:tcW w:type="dxa" w:w="61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Percent</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61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3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61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Beneficial ownership working calculation (P1)</w:t>
      </w:r>
    </w:p>
    <w:p>
      <w:r>
        <w:t xml:space="preserve">State. Customer threshold reached</w:t>
      </w:r>
    </w:p>
    <w:p>
      <w:r>
        <w:t xml:space="preserve">Exact acyclic supplied-graph share compared with the customer-approved threshold. No statutory ownership or control classification.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Target</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graph share</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share fraction</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threshold percent</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Control evidence (P1)</w:t>
      </w:r>
    </w:p>
    <w:p>
      <w:r>
        <w:t xml:space="preserve">State. Control declaration linked</w:t>
      </w:r>
    </w:p>
    <w:p>
      <w:r>
        <w:t xml:space="preserve">Customer-declared role retained independently of ownership. This does not establish legally defined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director. Customer must verify actual control.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449"/>
        <w:gridCol w:w="4911"/>
      </w:tblGrid>
      <w:tr>
        <w:trPr>
          <w:cantSplit/>
          <w:tblHeader/>
        </w:trPr>
        <w:tc>
          <w:tcPr>
            <w:tcW w:type="dxa" w:w="44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target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ownershipThresholdPercent</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id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name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person one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ownershipComplete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id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name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entity one</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kind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ownershipComplete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entities 2.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ownerId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entityId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percent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verification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controllers 1. personId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controllers 1. role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director. Customer must verify actual control.</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controllers 1.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Beneficial Ownership Requirements for Legal Entity Customers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distinguishes ownership and control information and source verification. The customer determines applicable requirements and supplied ownership rules. This workpaper does not authenticate a legal entity or beneficial owner.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7x1pih1oaxkbgs8biuev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Customer Due Diligence</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customer information, source-of-funds and wealth review, documentation and unresolved information. It does not establish applicability to every customer or organization.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9elsral046dyadr1n3db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x1pih1oaxkbgs8biuevt" Type="http://schemas.openxmlformats.org/officeDocument/2006/relationships/hyperlink" Target="https://bsaaml.ffiec.gov/manual/AssessingComplianceWithBSARegulatoryRequirements/03" TargetMode="External"/><Relationship Id="rId9elsral046dyadr1n3dbq" Type="http://schemas.openxmlformats.org/officeDocument/2006/relationships/hyperlink" Target="https://bsaaml.ffiec.gov/manual/AssessingComplianceWithBSARegulatoryRequirements/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Beneficial ownership evidence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