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EDD dossier assembler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a sectioned due-diligence dossier with complete explanations, original evidence links, contradictions and unresolved questions.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Match each customer-approved EDD question to every supplied answer. Retain exact explanations, corroboration declarations and reviewers. Flag required missing answers, duplicate responses, unsupported explanations and contradictions. Preserve orphan answers without treating them as complete questionnaire coverage.</w:t>
      </w:r>
    </w:p>
    <w:p>
      <w:r>
        <w:t xml:space="preserve">Customer-selected questions determine the dossier scope. The tool does not infer risk rating, lawful wealth, sufficiency or a duty to conduct enhanced due diligence.</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EDD Business activity (Q1)</w:t>
      </w:r>
    </w:p>
    <w:p>
      <w:r>
        <w:t xml:space="preserve">State. Explanation documented</w:t>
      </w:r>
    </w:p>
    <w:p>
      <w:r>
        <w:t xml:space="preserve">Customer-declared corroboration and the complete explanation are preserved. No EDD sufficiency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Explain the fictional customer business.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declared consulting income. Requires tailoring.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Corroboration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5. EDD Unresolved source (Q2)</w:t>
      </w:r>
    </w:p>
    <w:p>
      <w:r>
        <w:t xml:space="preserve">State. Contradicted</w:t>
      </w:r>
    </w:p>
    <w:p>
      <w:r>
        <w:t xml:space="preserve">Explanation remains contradicted or uncorroborated.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Corroborate the fictional source of wealth.</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explanation conflicts with the supplied annotation.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Corroboration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Contradicted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368"/>
        <w:gridCol w:w="4992"/>
      </w:tblGrid>
      <w:tr>
        <w:trPr>
          <w:cantSplit/>
          <w:tblHeader/>
        </w:trPr>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section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Business activity</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prompt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Explain the fictional customer business.</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required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Q2</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section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source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prompt</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Corroborate the fictional source of wealth.</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required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1. questionReference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1. explanation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declared consulting income. Requires tailoring.</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1. corroboration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1. reviewedBy</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2. questionReference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Q2</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2. explanation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explanation conflicts with the supplied annotation.</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2. corroboration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Contradicted</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2. reviewedBy</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answers 2.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Customer Due Diligence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describes risk-based customer information, source-of-funds and wealth review, documentation and unresolved information. It does not establish applicability to every customer or organization.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mzrhexnul823cuc4w-f3">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mzrhexnul823cuc4w-f3" Type="http://schemas.openxmlformats.org/officeDocument/2006/relationships/hyperlink" Target="https://bsaaml.ffiec.gov/manual/AssessingComplianceWithBSARegulatoryRequirements/0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EDD dossier assembler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