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Source-of-funds evidence organizer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Reconcile supplied transaction amounts to exact declared funds origins, original supporting records and unresolved differences.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origin explanations to exact transaction references. Sum signed six-place decimals with integer arithmetic separately for each transaction currency. Report differences, mixed currencies, duplicate references, missing origins and unsourced amounts. Preserve complete explanations and original evidence links.</w:t>
      </w:r>
    </w:p>
    <w:p>
      <w:r>
        <w:t xml:space="preserve">No currency conversion, document extraction or lawfulness determination. Duplicate explanations and currency mismatch prevent a complete reconciliation rather than silently excluding money.</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Funds origin explanation (O1)</w:t>
      </w:r>
    </w:p>
    <w:p>
      <w:r>
        <w:t xml:space="preserve">State. Explanation linked</w:t>
      </w:r>
    </w:p>
    <w:p>
      <w:r>
        <w:t xml:space="preserve">Exact declared funds origin and linked evidence retained. Sufficiency remains a reviewer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54"/>
        <w:gridCol w:w="4106"/>
      </w:tblGrid>
      <w:tr>
        <w:trPr>
          <w:cantSplit/>
          <w:tblHeader/>
        </w:trPr>
        <w:tc>
          <w:tcPr>
            <w:tcW w:type="dxa" w:w="52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1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T1</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income part one</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Amount</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0.1</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Currency</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Funds origin explanation (O2)</w:t>
      </w:r>
    </w:p>
    <w:p>
      <w:r>
        <w:t xml:space="preserve">State. Explanation linked</w:t>
      </w:r>
    </w:p>
    <w:p>
      <w:r>
        <w:t xml:space="preserve">Exact declared funds origin and linked evidence retained. Sufficiency remains a reviewer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54"/>
        <w:gridCol w:w="4106"/>
      </w:tblGrid>
      <w:tr>
        <w:trPr>
          <w:cantSplit/>
          <w:tblHeader/>
        </w:trPr>
        <w:tc>
          <w:tcPr>
            <w:tcW w:type="dxa" w:w="52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1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T1</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income part two</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Amount</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0.2</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Currency</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Funds reconciliation (T1)</w:t>
      </w:r>
    </w:p>
    <w:p>
      <w:r>
        <w:t xml:space="preserve">State. Amounts reconciled</w:t>
      </w:r>
    </w:p>
    <w:p>
      <w:r>
        <w:t xml:space="preserve">Origin amounts reconcile exactly in one currency. This does not establish lawful source or evidence sufficiency.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112"/>
        <w:gridCol w:w="3248"/>
      </w:tblGrid>
      <w:tr>
        <w:trPr>
          <w:cantSplit/>
          <w:tblHeader/>
        </w:trPr>
        <w:tc>
          <w:tcPr>
            <w:tcW w:type="dxa" w:w="61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Account</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FICTIONAL-ACCOUNT</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Counterparty</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payer</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Amount</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Currency</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Explained amount</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Difference</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54"/>
        <w:gridCol w:w="4106"/>
      </w:tblGrid>
      <w:tr>
        <w:trPr>
          <w:cantSplit/>
          <w:tblHeader/>
        </w:trPr>
        <w:tc>
          <w:tcPr>
            <w:tcW w:type="dxa" w:w="52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1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transactions 1. reference</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T1</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transactions 1. on</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transactions 1. amount</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transactions 1. currency</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transactions 1. accountReference</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FICTIONAL-ACCOUNT</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transactions 1. counterparty</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payer</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transactions 1. sourceIds</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1. reference</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O1</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1. transactionReference</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T1</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1. claimedAmount</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0.1</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1. claimedCurrency</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1. origin</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income part one</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1. sourceIds</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2. reference</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O2</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2. transactionReference</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T1</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2. claimedAmount</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0.2</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2. claimedCurrency</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2. origin</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income part two</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explanations 2. sourceIds</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Customer Due Diligence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describes risk-based customer information, source-of-funds and wealth review, documentation and unresolved information. It does not establish applicability to every customer or organization.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urmpr3055ei4avxiecx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urmpr3055ei4avxiecxx" Type="http://schemas.openxmlformats.org/officeDocument/2006/relationships/hyperlink" Target="https://bsaaml.ffiec.gov/manual/AssessingComplianceWithBSARegulatoryRequirements/0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Source-of-funds evidence organizer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