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OFAC ownership-rule workpaper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an exact, source-linked OFAC 50 percent ownership propagation calculation from a customer-verified blocking-status snapshot.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Validate distinct acyclic entities and direct ownership totals at most 100 percent. Seed only customer-declared blocked persons with linked verified status evidence. Propagate through verified aggregate direct interests of at least 50 percent, in topological order. Do not multiply effective economic ownership to substitute for blocking propagation. Retain contributing owners, unknown interests and unreported remainder.</w:t>
      </w:r>
    </w:p>
    <w:p>
      <w:r>
        <w:t xml:space="preserve">No live sanctions refresh or automatic legal determination. Cycles and incomplete evidence remain unresolved. Control, program-specific prohibitions, divestments and release of previously blocked property require separate review.</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ownership relationship (P1 -&gt; E1)</w:t>
      </w:r>
    </w:p>
    <w:p>
      <w:r>
        <w:t xml:space="preserve">State. Relationship documented</w:t>
      </w:r>
    </w:p>
    <w:p>
      <w:r>
        <w:t xml:space="preserve">Customer-verified direct ownership percentage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12"/>
        <w:gridCol w:w="3248"/>
      </w:tblGrid>
      <w:tr>
        <w:trPr>
          <w:cantSplit/>
          <w:tblHeader/>
        </w:trPr>
        <w:tc>
          <w:tcPr>
            <w:tcW w:type="dxa" w:w="61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Percent</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Exact ownership relationship (E1 -&gt; E2)</w:t>
      </w:r>
    </w:p>
    <w:p>
      <w:r>
        <w:t xml:space="preserve">State. Relationship documented</w:t>
      </w:r>
    </w:p>
    <w:p>
      <w:r>
        <w:t xml:space="preserve">Customer-verified direct ownership percentage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12"/>
        <w:gridCol w:w="3248"/>
      </w:tblGrid>
      <w:tr>
        <w:trPr>
          <w:cantSplit/>
          <w:tblHeader/>
        </w:trPr>
        <w:tc>
          <w:tcPr>
            <w:tcW w:type="dxa" w:w="61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Percent</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Frozen blocking status declaration (P1)</w:t>
      </w:r>
    </w:p>
    <w:p>
      <w:r>
        <w:t xml:space="preserve">State. Declaration linked</w:t>
      </w:r>
    </w:p>
    <w:p>
      <w:r>
        <w:t xml:space="preserve">Status comes from the customer-selected evidence snapshot. No live list or legal determination was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760"/>
        <w:gridCol w:w="3600"/>
      </w:tblGrid>
      <w:tr>
        <w:trPr>
          <w:cantSplit/>
          <w:tblHeader/>
        </w:trPr>
        <w:tc>
          <w:tcPr>
            <w:tcW w:type="dxa" w:w="5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one</w:t>
            </w:r>
          </w:p>
        </w:tc>
      </w:tr>
      <w:tr>
        <w:trPr>
          <w:cantSplit/>
        </w:trPr>
        <w:tc>
          <w:tcPr>
            <w:tcW w:type="dxa" w:w="57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status</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Blocked</w:t>
            </w:r>
          </w:p>
        </w:tc>
      </w:tr>
      <w:tr>
        <w:trPr>
          <w:cantSplit/>
        </w:trPr>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 of</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57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Frozen blocking status declaration (E1)</w:t>
      </w:r>
    </w:p>
    <w:p>
      <w:r>
        <w:t xml:space="preserve">State. Declaration linked</w:t>
      </w:r>
    </w:p>
    <w:p>
      <w:r>
        <w:t xml:space="preserve">Status comes from the customer-selected evidence snapshot. No live list or legal determination was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45"/>
        <w:gridCol w:w="3915"/>
      </w:tblGrid>
      <w:tr>
        <w:trPr>
          <w:cantSplit/>
          <w:tblHeader/>
        </w:trPr>
        <w:tc>
          <w:tcPr>
            <w:tcW w:type="dxa" w:w="54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entity one</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status</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established blocked</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 of</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Frozen blocking status declaration (E2)</w:t>
      </w:r>
    </w:p>
    <w:p>
      <w:r>
        <w:t xml:space="preserve">State. Declaration linked</w:t>
      </w:r>
    </w:p>
    <w:p>
      <w:r>
        <w:t xml:space="preserve">Status comes from the customer-selected evidence snapshot. No live list or legal determination was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45"/>
        <w:gridCol w:w="3915"/>
      </w:tblGrid>
      <w:tr>
        <w:trPr>
          <w:cantSplit/>
          <w:tblHeader/>
        </w:trPr>
        <w:tc>
          <w:tcPr>
            <w:tcW w:type="dxa" w:w="54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entity two</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status</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established blocked</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 of</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9. OFAC ownership propagation workpaper (E1)</w:t>
      </w:r>
    </w:p>
    <w:p>
      <w:r>
        <w:t xml:space="preserve">State. 50 percent working threshold reached</w:t>
      </w:r>
    </w:p>
    <w:p>
      <w:r>
        <w:t xml:space="preserve">Sum of verified direct interests held by customer-declared blocked or prior threshold-reaching owners reaches 50 percent. Human review must confirm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Known blocked-owner percent</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 or unverified owner percent</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Unreported percent</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 declared complete</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owners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 of</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10. OFAC ownership propagation workpaper (E2)</w:t>
      </w:r>
    </w:p>
    <w:p>
      <w:r>
        <w:t xml:space="preserve">State. 50 percent working threshold reached</w:t>
      </w:r>
    </w:p>
    <w:p>
      <w:r>
        <w:t xml:space="preserve">Sum of verified direct interests held by customer-declared blocked or prior threshold-reaching owners reaches 50 percent. Human review must confirm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Known blocked-owner percent</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 or unverified owner percent</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Unreported percent</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 declared complete</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owners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 of</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449"/>
        <w:gridCol w:w="4911"/>
      </w:tblGrid>
      <w:tr>
        <w:trPr>
          <w:cantSplit/>
          <w:tblHeader/>
        </w:trPr>
        <w:tc>
          <w:tcPr>
            <w:tcW w:type="dxa" w:w="44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OFAC aggregate 50 percent ownership propagation</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asOf</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id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name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one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ownershipComplete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blockedStatus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Blocked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statusSourceIds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id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name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entity one</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kind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ownershipComplete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blockedStatus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established blocked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statusSourceIds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id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name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entity two</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ownershipComplete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blockedStatus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established blocked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3. statusSourceIds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ownerId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entityId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percent</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verification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ownerId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entityId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percent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verification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2.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OFAC FAQ 401. Indirect ownership examples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Explains aggregate ownership propagation through entities meeting the 50 percent rule. The workpaper requires a verified acyclic ownership snapshot and confirmed blocking-status evidence. It does not determine transaction authorization.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fiafwrtlopeo_dlghjsa">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OFAC FAQ 400. Control and blocked individuals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and dealings involving blocked individuals require separate review. Below-threshold ownership is not clearance to transact.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fnbsvzidavr9dc5wx6nwl">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OFAC FAQ 402. Ownership changes and previously blocked property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later ownership change does not by itself authorize release of previously blocked property. This workpaper does not evaluate divestment legality or release property.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8pcvoctriuznzyjbv_z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fiafwrtlopeo_dlghjsa" Type="http://schemas.openxmlformats.org/officeDocument/2006/relationships/hyperlink" Target="https://ofac.treasury.gov/faqs/401" TargetMode="External"/><Relationship Id="rIdfnbsvzidavr9dc5wx6nwl" Type="http://schemas.openxmlformats.org/officeDocument/2006/relationships/hyperlink" Target="https://ofac.treasury.gov/faqs/400" TargetMode="External"/><Relationship Id="rIdq8pcvoctriuznzyjbv_zv" Type="http://schemas.openxmlformats.org/officeDocument/2006/relationships/hyperlink" Target="https://ofac.treasury.gov/faqs/40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OFAC ownership-rule workpaper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