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Sanctions reporting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a complete customer-approved reporting draft, supporting records and missing-field checklist after an authorized human reporting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Keep report type, decision maker, date, exact legal authority, jurisdiction basis and customer due date distinct. Match every customer-selected required field to all supplied values and sources. Retain optional and additional fields, missing values and ambiguity. Output the full draft as not filed.</w:t>
      </w:r>
    </w:p>
    <w:p>
      <w:r>
        <w:t xml:space="preserve">The customer must select the correct and complete checklist for initial, annual, rejected or other reports. No regulatory deadline calculation, government submission, blocking or rejection occurs.</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Authorized reporting scope (CASE-FICTIONAL)</w:t>
      </w:r>
    </w:p>
    <w:p>
      <w:r>
        <w:t xml:space="preserve">State. Decision declaration retained</w:t>
      </w:r>
    </w:p>
    <w:p>
      <w:r>
        <w:t xml:space="preserve">Customer-selected reporting basis retained. No blocking, rejection, deadline determination or filing occurs.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 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Initial blocking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maker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decision maker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 authority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customer-selected authority. Must be replaced with the exact applicable program and instrument.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 basis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legal analysis. Requires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due 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15,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Submission state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filed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Reporting field (R1)</w:t>
      </w:r>
    </w:p>
    <w:p>
      <w:r>
        <w:t xml:space="preserve">State. Draft field documented</w:t>
      </w:r>
    </w:p>
    <w:p>
      <w:r>
        <w:t xml:space="preserve">Complete supplied draft value retained against the exact customer-approved checklist.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Label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holding property and contact details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holdingPerson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reporting organization, address and contact. Requires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6. Reporting field (R2)</w:t>
      </w:r>
    </w:p>
    <w:p>
      <w:r>
        <w:t xml:space="preserve">State. Draft field documented</w:t>
      </w:r>
    </w:p>
    <w:p>
      <w:r>
        <w:t xml:space="preserve">Complete supplied draft value retained against the exact customer-approved checklist.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Label</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 description and participating persons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transaction reference, date and parties. Requires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 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05"/>
        <w:gridCol w:w="5255"/>
      </w:tblGrid>
      <w:tr>
        <w:trPr>
          <w:cantSplit/>
          <w:tblHeader/>
        </w:trPr>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reportType</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Initial blocking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decidedBy</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decision maker</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decisionOn</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legalAuthority</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customer-selected authority. Must be replaced with the exact applicable program and instrument.</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jurisdictionBasis</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legal analysis. Requires tailoring.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dueOn</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15, 2026</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reference</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fieldKey</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holdingPerson</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label</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holding property and contact details</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required</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1. sourceIds</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reference</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R2</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fieldKey</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label</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 description and participating persons</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required</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requirements 2. sourceIds</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fields 1. key</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holdingPerson</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fields 1. value</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reporting organization, address and contact. Requires tailoring.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fields 1. sourceIds</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fields 2. key</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fields 2. value</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transaction reference, date and parties. Requires tailoring.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fields 2. sourceIds</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eCFR: 31 CFR 501.603. Blocked property reporting</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Describes initial, annual and other blocked-property reports, contents and submission rules. A qualified customer selects the applicable report, full checklist and due date. This tool neither files nor determines mandatory reporting.</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gxjhpcjaojydos9lwvqw">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eCFR: 31 CFR 501.604. Rejected transaction reporting</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Describes rejection-report contents and submission rules. Blocking and rejection remain distinct customer-authorized decisions. Uploaded evidence does not prove a government submission.</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49yujqupbidyk_8uyzku6">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gxjhpcjaojydos9lwvqw" Type="http://schemas.openxmlformats.org/officeDocument/2006/relationships/hyperlink" Target="https://www.ecfr.gov/current/title-31/subtitle-B/chapter-V/part-501/subpart-C/section-501.603" TargetMode="External"/><Relationship Id="rId49yujqupbidyk_8uyzku6" Type="http://schemas.openxmlformats.org/officeDocument/2006/relationships/hyperlink" Target="https://www.ecfr.gov/current/title-31/subtitle-B/chapter-V/part-501/subpart-C/section-501.604"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Sanctions reporting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