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AML control testing planner</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2026-10-09.financial-evidence.1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Prepare an exact control-testing scope, selected population, test schedule, acceptance criteria and required evidence workpaper.</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organization</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or subject</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bounded evidence case. Replace every source, policy and fact before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Compare declared and supplied control population counts. Bind each planned test to one control, exact selected item IDs, named tester, planned period, selection basis, expected evidence and exception threshold. Check full-population selection for all-items methods and retain omitted or orphan records. Mark all plans as unperformed.</w:t>
      </w:r>
    </w:p>
    <w:p>
      <w:r>
        <w:t xml:space="preserve">Selected-ID arrays support the full 100-item supplied population per planned test. No statistical representativeness, operating effectiveness or independence opinion is inferred.</w:t>
      </w:r>
    </w:p>
    <w:p>
      <w:r>
        <w:t xml:space="preserve">Original evidence bytes, annotations and customer rules remain in this browser unless explicitly approved for paid cloud saving. Customer verification and approval are declarations. Mechanical results do not authenticate source facts, decide legal applicability, clear screening hits, authorize transactions, classify exports, file reports or establish total wealth.</w:t>
      </w:r>
    </w:p>
    <w:p>
      <w:r>
        <w:t xml:space="preserve">Only the supplied population is evaluated. Source annotations do not prove completeness, authenticity, reviewer authority or external screening. Missing and conflicting evidence remains visible.</w:t>
      </w:r>
    </w:p>
    <w:p>
      <w:r>
        <w:t xml:space="preserve">Every accepted finding and original source reference is retained. Supplied text is not silently shortened. Original files are copied only into a local full backup or an explicitly approved artifact operation.</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157"/>
        <w:gridCol w:w="2203"/>
      </w:tblGrid>
      <w:tr>
        <w:trPr>
          <w:cantSplit/>
          <w:tblHeader/>
        </w:trPr>
        <w:tc>
          <w:tcPr>
            <w:tcW w:type="dxa" w:w="71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20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 descriptors</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source references</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findings</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Findings needing review</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1. Original evidence index (S1)</w:t>
      </w:r>
    </w:p>
    <w:p>
      <w:r>
        <w:t xml:space="preserve">State. Customer evidence linked</w:t>
      </w:r>
    </w:p>
    <w:p>
      <w:r>
        <w:t xml:space="preserve">Exact source descriptor and customer-declared locator retained. No content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document paragraphs 1 to 3</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and evidence source only.</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custodian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date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Exact local SHA-256 descriptor. Recovered descriptors require matching original bytes for a complete attachment export.</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Filename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FICTIONAL-evidence.txt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Media type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255</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f915adc44353033ee611dbc67d8e24d6d2fcfa10da40688f5b9d0a3cb2e20a4a</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None supplied</w:t>
            </w:r>
          </w:p>
        </w:tc>
      </w:tr>
    </w:tbl>
    <w:p>
      <w:pPr>
        <w:pStyle w:val="Heading1"/>
      </w:pPr>
      <w:r>
        <w:t xml:space="preserve">3. Frozen customer policy (POLICY-FICTIONAL)</w:t>
      </w:r>
    </w:p>
    <w:p>
      <w:r>
        <w:t xml:space="preserve">State. Policy linked</w:t>
      </w:r>
    </w:p>
    <w:p>
      <w:r>
        <w:t xml:space="preserve">Customer-selected policy, version and approval are retained. Applicability and authority require human review.</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546"/>
        <w:gridCol w:w="3814"/>
      </w:tblGrid>
      <w:tr>
        <w:trPr>
          <w:cantSplit/>
          <w:tblHeader/>
        </w:trPr>
        <w:tc>
          <w:tcPr>
            <w:tcW w:type="dxa" w:w="55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8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by</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Control testing scope (C1)</w:t>
      </w:r>
    </w:p>
    <w:p>
      <w:r>
        <w:t xml:space="preserve">State. Scope documented</w:t>
      </w:r>
    </w:p>
    <w:p>
      <w:r>
        <w:t xml:space="preserve">Selected control, full declared population and acceptance conditions retained for planning. No operating effectiveness test was performed.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Objective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control objective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Two fictional control events only.</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count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Supplied count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evidence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original review record for every selected item.</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Acceptance criterion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reviewer confirms original evidence and outcome.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Exception threshold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rule. Any missing evidence needs review.</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control owner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Planned AML test (TEST1)</w:t>
      </w:r>
    </w:p>
    <w:p>
      <w:r>
        <w:t xml:space="preserve">State. Plan assembled</w:t>
      </w:r>
    </w:p>
    <w:p>
      <w:r>
        <w:t xml:space="preserve">Exact selected items and planned evidence are retained. Sample representativeness, policy sufficiency and test results remain unverified.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Method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All supplied items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POP1, POP2</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count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Selection basis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All two supplied fictional records. No sampling inference.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tester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Start 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10,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End 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controls 1. objective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control objective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controls 1. populationDescription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Two fictional control events only.</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controls 1. populationCount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controls 1. expectedEvidence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original review record for every selected item.</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controls 1. acceptanceCriterion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reviewer confirms original evidence and outcome.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controls 1. exceptionThreshold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rule. Any missing evidence needs review.</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controls 1. owner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control owner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controls 1. sourceIds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1. 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1. controlReference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1. occurredOn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1. sourceIds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2. 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POP2</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2. controlReference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2. occurredOn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2. sourceIds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tests 1. 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tests 1. controlReference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tests 1. method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All supplied items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tests 1. selectedIds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POP1, POP2</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tests 1. selectionBasis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All two supplied fictional records. No sampling inference.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tests 1. tester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tester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tests 1. startOn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10,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tests 1. endOn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Financial Institutions Examination Council: BSA/AML Independent Testing</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Bank examination guidance describes risk-based independent testing, scope, workpapers and reporting. Customer-selected sampling and thresholds are not a professional assurance opinion.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ozemg_oqig10itemo3axu">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ozemg_oqig10itemo3axu" Type="http://schemas.openxmlformats.org/officeDocument/2006/relationships/hyperlink" Target="https://bsaaml.ffiec.gov/manual/AssessingTheBSAAMLComplianceProgram/03"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AML control testing planner</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