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Financial-crime case quality review</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2026-10-09.financial-evidence.1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Assess complete supplied-case documentation against an exact approved rubric, including missing answers, evidence gaps and customer exclusions.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organization</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or subject</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bounded evidence case. Replace every source, policy and fact before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Join every rubric criterion to all entered assessments. Require evidence and named rationale where selected. Honor not-applicable treatment only when the exact rubric permits it and a reason is supplied. Calculate exact documented and applicable weight points, preserving missing and conflicting assessments. Never infer a passing case or closure decision.</w:t>
      </w:r>
    </w:p>
    <w:p>
      <w:r>
        <w:t xml:space="preserve">Weights are whole nonnegative integers through 999. Coverage is a documentation ratio without a pass threshold. Source correctness, case merit and compliance remain reviewer responsibilities.</w:t>
      </w:r>
    </w:p>
    <w:p>
      <w:r>
        <w:t xml:space="preserve">Original evidence bytes, annotations and customer rules remain in this browser unless explicitly approved for paid cloud saving. Customer verification and approval are declarations. Mechanical results do not authenticate source facts, decide legal applicability, clear screening hits, authorize transactions, classify exports, file reports or establish total wealth.</w:t>
      </w:r>
    </w:p>
    <w:p>
      <w:r>
        <w:t xml:space="preserve">Only the supplied population is evaluated. Source annotations do not prove completeness, authenticity, reviewer authority or external screening. Missing and conflicting evidence remains visible.</w:t>
      </w:r>
    </w:p>
    <w:p>
      <w:r>
        <w:t xml:space="preserve">Every accepted finding and original source reference is retained. Supplied text is not silently shortened. Original files are copied only into a local full backup or an explicitly approved artifact operation.</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157"/>
        <w:gridCol w:w="2203"/>
      </w:tblGrid>
      <w:tr>
        <w:trPr>
          <w:cantSplit/>
          <w:tblHeader/>
        </w:trPr>
        <w:tc>
          <w:tcPr>
            <w:tcW w:type="dxa" w:w="71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2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 descriptors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source references</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findings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 needing review</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bl>
    <w:p>
      <w:pPr>
        <w:pStyle w:val="Heading1"/>
      </w:pPr>
      <w:r>
        <w:t xml:space="preserve">1. Original evidence index (S1)</w:t>
      </w:r>
    </w:p>
    <w:p>
      <w:r>
        <w:t xml:space="preserve">State. Customer evidence linked</w:t>
      </w:r>
    </w:p>
    <w:p>
      <w:r>
        <w:t xml:space="preserve">Exact source descriptor and customer-declared locator retained. No content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document paragraphs 1 to 3</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and evidence source only.</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custodian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Exact local SHA-256 descriptor. Recovered descriptors require matching original bytes for a complete attachment export.</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FICTIONAL-evidence.txt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Media type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255</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f915adc44353033ee611dbc67d8e24d6d2fcfa10da40688f5b9d0a3cb2e20a4a</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None supplied</w:t>
            </w:r>
          </w:p>
        </w:tc>
      </w:tr>
    </w:tbl>
    <w:p>
      <w:pPr>
        <w:pStyle w:val="Heading1"/>
      </w:pPr>
      <w:r>
        <w:t xml:space="preserve">3. Frozen customer policy (POLICY-FICTIONAL)</w:t>
      </w:r>
    </w:p>
    <w:p>
      <w:r>
        <w:t xml:space="preserve">State. Policy linked</w:t>
      </w:r>
    </w:p>
    <w:p>
      <w:r>
        <w:t xml:space="preserve">Customer-selected policy, version and approval are retained. Applicability and authority require human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546"/>
        <w:gridCol w:w="3814"/>
      </w:tblGrid>
      <w:tr>
        <w:trPr>
          <w:cantSplit/>
          <w:tblHeader/>
        </w:trPr>
        <w:tc>
          <w:tcPr>
            <w:tcW w:type="dxa" w:w="55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8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by</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Case quality rubric (R1)</w:t>
      </w:r>
    </w:p>
    <w:p>
      <w:r>
        <w:t xml:space="preserve">State. Customer assessment documented</w:t>
      </w:r>
    </w:p>
    <w:p>
      <w:r>
        <w:t xml:space="preserve">Customer-entered assessment meets the selected documentation requirements. No case or legal decision is made.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facts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the fictional case subject and original evidence.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Reviewer state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Satisfied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Explanation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annotation recorded. Requires tailoring.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Not-applicable rationale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provided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Weight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 S1</w:t>
            </w:r>
          </w:p>
        </w:tc>
      </w:tr>
    </w:tbl>
    <w:p>
      <w:pPr>
        <w:pStyle w:val="Heading1"/>
      </w:pPr>
      <w:r>
        <w:t xml:space="preserve">5. Case quality rubric (R2)</w:t>
      </w:r>
    </w:p>
    <w:p>
      <w:r>
        <w:t xml:space="preserve">State. Unresolved</w:t>
      </w:r>
    </w:p>
    <w:p>
      <w:r>
        <w:t xml:space="preserve">Reviewer marks the criterion unknown or deficient.</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rationale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 the responsible reviewer rationale.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Reviewer state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Unknown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Explanation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rationale is not yet resolved.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Not-applicable rationale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provided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Weight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 S1</w:t>
            </w:r>
          </w:p>
        </w:tc>
      </w:tr>
    </w:tbl>
    <w:p>
      <w:pPr>
        <w:pStyle w:val="Heading1"/>
      </w:pPr>
      <w:r>
        <w:t xml:space="preserve">6. Weighted documentation coverage (CASE-FICTIONAL)</w:t>
      </w:r>
    </w:p>
    <w:p>
      <w:r>
        <w:t xml:space="preserve">State. Incomplete</w:t>
      </w:r>
    </w:p>
    <w:p>
      <w:r>
        <w:t xml:space="preserve">Exact customer-weighted documentation coverage only. No pass threshold, case closure or compliance approval is inferred.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656"/>
        <w:gridCol w:w="2704"/>
      </w:tblGrid>
      <w:tr>
        <w:trPr>
          <w:cantSplit/>
          <w:tblHeader/>
        </w:trPr>
        <w:tc>
          <w:tcPr>
            <w:tcW w:type="dxa" w:w="665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270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6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Documented points</w:t>
            </w:r>
          </w:p>
        </w:tc>
        <w:tc>
          <w:tcPr>
            <w:tcW w:type="dxa" w:w="27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6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Applicable points</w:t>
            </w:r>
          </w:p>
        </w:tc>
        <w:tc>
          <w:tcPr>
            <w:tcW w:type="dxa" w:w="27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66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Coverage fraction</w:t>
            </w:r>
          </w:p>
        </w:tc>
        <w:tc>
          <w:tcPr>
            <w:tcW w:type="dxa" w:w="27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2/3</w:t>
            </w:r>
          </w:p>
        </w:tc>
      </w:tr>
      <w:tr>
        <w:trPr>
          <w:cantSplit/>
        </w:trPr>
        <w:tc>
          <w:tcPr>
            <w:tcW w:type="dxa" w:w="66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27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None supplied</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criteria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criteria 1. section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facts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criteria 1. prompt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the fictional case subject and original evidence.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criteria 1. required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criteria 1. evidenceRequired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criteria 1. allowNotApplicable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criteria 1. weight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criteria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criteria 2.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R2</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criteria 2. section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rationale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criteria 2. prompt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 the responsible reviewer rationale.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criteria 2. required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criteria 2. evidenceRequired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criteria 2. allowNotApplicable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criteria 2. weight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criteria 2.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assessments 1. criterionReference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assessments 1. state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Satisfied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assessments 1. explanation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annotation recorded. Requires tailoring.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assessments 1. reviewer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assessments 1. notApplicableReason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provided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assessments 2. criterionReference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R2</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assessments 2. state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Unknown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assessments 2. explanation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rationale is not yet resolved.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assessments 2. reviewer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assessments 2. notApplicableReason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provided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assessments 2.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Financial Institutions Examination Council: Developing Conclusions and Finalizing the Exam</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Examiner guidance discusses supporting evidence, findings and conclusions. A customer rubric only assesses documented supplied-case coverage, not an examiner conclusion or legal compliance.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jtvhnoknlf1-cyu8ftiyq">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Financial Institutions Examination Council: BSA/AML Independent Testing</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Bank examination guidance describes risk-based independent testing, scope, workpapers and reporting. Customer-selected sampling and thresholds are not a professional assurance opinion.</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hbjypbzmjushdxgyxzy3n">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jtvhnoknlf1-cyu8ftiyq" Type="http://schemas.openxmlformats.org/officeDocument/2006/relationships/hyperlink" Target="https://bsaaml.ffiec.gov/manual/DevelopingConclusionsAndFinalizingTheExam/01" TargetMode="External"/><Relationship Id="rIdhbjypbzmjushdxgyxzy3n" Type="http://schemas.openxmlformats.org/officeDocument/2006/relationships/hyperlink" Target="https://bsaaml.ffiec.gov/manual/AssessingTheBSAAMLComplianceProgram/03"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Financial-crime case quality review</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