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Portability formatter</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510"/>
        <w:gridCol w:w="5850"/>
      </w:tblGrid>
      <w:tr>
        <w:trPr>
          <w:cantSplit/>
          <w:tblHeader/>
        </w:trPr>
        <w:tc>
          <w:tcPr>
            <w:tcW w:type="dxa" w:w="351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85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51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8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Portability formatter</w:t>
            </w:r>
          </w:p>
        </w:tc>
      </w:tr>
      <w:tr>
        <w:trPr>
          <w:cantSplit/>
        </w:trPr>
        <w:tc>
          <w:tcPr>
            <w:tcW w:type="dxa" w:w="351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85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3-portability-formatter</w:t>
            </w:r>
          </w:p>
        </w:tc>
      </w:tr>
      <w:tr>
        <w:trPr>
          <w:cantSplit/>
        </w:trPr>
        <w:tc>
          <w:tcPr>
            <w:tcW w:type="dxa" w:w="351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8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51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85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2026-10-09.local-interchange.1</w:t>
            </w:r>
          </w:p>
        </w:tc>
      </w:tr>
      <w:tr>
        <w:trPr>
          <w:cantSplit/>
        </w:trPr>
        <w:tc>
          <w:tcPr>
            <w:tcW w:type="dxa" w:w="351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8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review prepared</w:t>
            </w:r>
          </w:p>
        </w:tc>
      </w:tr>
      <w:tr>
        <w:trPr>
          <w:cantSplit/>
        </w:trPr>
        <w:tc>
          <w:tcPr>
            <w:tcW w:type="dxa" w:w="351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85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reviewer</w:t>
            </w:r>
          </w:p>
        </w:tc>
      </w:tr>
      <w:tr>
        <w:trPr>
          <w:cantSplit/>
        </w:trPr>
        <w:tc>
          <w:tcPr>
            <w:tcW w:type="dxa" w:w="351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8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51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85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Produce approved, machine-readable field exports from an actual source population.</w:t>
      </w:r>
    </w:p>
    <w:p>
      <w:r>
        <w:t xml:space="preserve">Working results use exact local sources and explicitly selected versions. Originals remain unchanged in this browser. No source authenticity, population completeness, vulnerability exploitability, legal applicability, license conclusion, consent validity, food safety or external submission is established.</w:t>
      </w:r>
    </w:p>
    <w:p>
      <w:pPr>
        <w:pStyle w:val="Heading1"/>
      </w:pPr>
      <w:r>
        <w:t xml:space="preserve">Method and exact sources</w:t>
      </w:r>
    </w:p>
    <w:p>
      <w:r>
        <w:t xml:space="preserve">Method revision 2026-10-09.local-interchange.1.</w:t>
      </w:r>
    </w:p>
    <w:p>
      <w:r>
        <w:t xml:space="preserve">Match exact source headings to approved output headings. Reject conflicting mappings, duplicate output headings and unmapped required fields. Export only approved mapped fields, preserving all source rows, blank values and original strings. Produce an ordinary UTF-8 CSV and a JSON array with identical values. Spreadsheet formula-like values remain literal strings and are flagged for safe handling.</w:t>
      </w:r>
    </w:p>
    <w:p>
      <w:r>
        <w:t xml:space="preserve">Working results use exact local sources and explicitly selected versions. Originals remain unchanged in this browser. No source authenticity, population completeness, vulnerability exploitability, legal applicability, license conclusion, consent validity, food safety or external submission is established.</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200"/>
        <w:gridCol w:w="3360"/>
        <w:gridCol w:w="960"/>
        <w:gridCol w:w="3840"/>
      </w:tblGrid>
      <w:tr>
        <w:trPr>
          <w:cantSplit/>
          <w:tblHeader/>
        </w:trPr>
        <w:tc>
          <w:tcPr>
            <w:tcW w:type="dxa" w:w="120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36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6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8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120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primary</w:t>
            </w:r>
          </w:p>
        </w:tc>
        <w:tc>
          <w:tcPr>
            <w:tcW w:type="dxa" w:w="336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fictional-observations.csv</w:t>
            </w:r>
          </w:p>
        </w:tc>
        <w:tc>
          <w:tcPr>
            <w:tcW w:type="dxa" w:w="96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47</w:t>
            </w:r>
          </w:p>
        </w:tc>
        <w:tc>
          <w:tcPr>
            <w:tcW w:type="dxa" w:w="38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f584998ac3c15cb5e231746b36d063476deef739a46c166cb616023f7b228dd4</w:t>
            </w:r>
          </w:p>
        </w:tc>
      </w:tr>
      <w:tr>
        <w:trPr>
          <w:cantSplit/>
        </w:trPr>
        <w:tc>
          <w:tcPr>
            <w:tcW w:type="dxa" w:w="120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comparison</w:t>
            </w:r>
          </w:p>
        </w:tc>
        <w:tc>
          <w:tcPr>
            <w:tcW w:type="dxa" w:w="336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fictional-approved-rules.csv</w:t>
            </w:r>
          </w:p>
        </w:tc>
        <w:tc>
          <w:tcPr>
            <w:tcW w:type="dxa" w:w="96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283</w:t>
            </w:r>
          </w:p>
        </w:tc>
        <w:tc>
          <w:tcPr>
            <w:tcW w:type="dxa" w:w="384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61256ae7bf97731cd6350b6b4c2b117b8b639ed945e28a15fb14ea408a06e878</w:t>
            </w:r>
          </w:p>
        </w:tc>
      </w:tr>
    </w:tbl>
    <w:p>
      <w:pPr>
        <w:pStyle w:val="Heading1"/>
      </w:pPr>
      <w:r>
        <w:t xml:space="preserve">Frozen inputs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011"/>
        <w:gridCol w:w="5349"/>
      </w:tblGrid>
      <w:tr>
        <w:trPr>
          <w:cantSplit/>
          <w:tblHeader/>
        </w:trPr>
        <w:tc>
          <w:tcPr>
            <w:tcW w:type="dxa" w:w="401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34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01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 reference</w:t>
            </w:r>
          </w:p>
        </w:tc>
        <w:tc>
          <w:tcPr>
            <w:tcW w:type="dxa" w:w="534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Review reference</w:t>
            </w:r>
          </w:p>
        </w:tc>
      </w:tr>
      <w:tr>
        <w:trPr>
          <w:cantSplit/>
        </w:trPr>
        <w:tc>
          <w:tcPr>
            <w:tcW w:type="dxa" w:w="401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Responsible reviewer</w:t>
            </w:r>
          </w:p>
        </w:tc>
        <w:tc>
          <w:tcPr>
            <w:tcW w:type="dxa" w:w="534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reviewer</w:t>
            </w:r>
          </w:p>
        </w:tc>
      </w:tr>
      <w:tr>
        <w:trPr>
          <w:cantSplit/>
        </w:trPr>
        <w:tc>
          <w:tcPr>
            <w:tcW w:type="dxa" w:w="401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Observation date</w:t>
            </w:r>
          </w:p>
        </w:tc>
        <w:tc>
          <w:tcPr>
            <w:tcW w:type="dxa" w:w="534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401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 and version scope</w:t>
            </w:r>
          </w:p>
        </w:tc>
        <w:tc>
          <w:tcPr>
            <w:tcW w:type="dxa" w:w="534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Source and version scope</w:t>
            </w:r>
          </w:p>
        </w:tc>
      </w:tr>
    </w:tbl>
    <w:p>
      <w:pPr>
        <w:pStyle w:val="Heading1"/>
      </w:pPr>
      <w:r>
        <w:t xml:space="preserve">Review result</w:t>
      </w:r>
    </w:p>
    <w:p>
      <w:r>
        <w:t xml:space="preserve">5 source-linked findings. 0 unresolved or failed findings.</w:t>
      </w:r>
    </w:p>
    <w:p>
      <w:pPr>
        <w:pStyle w:val="ListParagraph"/>
        <w:numPr>
          <w:ilvl w:val="0"/>
          <w:numId w:val="1"/>
        </w:numPr>
      </w:pPr>
      <w:r>
        <w:t xml:space="preserve">Match exact source headings to approved output headings. Reject conflicting mappings, duplicate output headings and unmapped required fields. Export only approved mapped fields, preserving all source rows, blank values and original strings. Produce an ordinary UTF-8 CSV and a JSON array with identical values. Spreadsheet formula-like values remain literal strings and are flagged for safe handling.</w:t>
      </w:r>
    </w:p>
    <w:p>
      <w:pPr>
        <w:pStyle w:val="ListParagraph"/>
        <w:numPr>
          <w:ilvl w:val="0"/>
          <w:numId w:val="1"/>
        </w:numPr>
      </w:pPr>
      <w:r>
        <w:t xml:space="preserve">Original files are unchanged. Working artifacts are separate and withheld when their required checks fail.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6586"/>
        <w:gridCol w:w="2774"/>
      </w:tblGrid>
      <w:tr>
        <w:trPr>
          <w:cantSplit/>
          <w:tblHeader/>
        </w:trPr>
        <w:tc>
          <w:tcPr>
            <w:tcW w:type="dxa" w:w="658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Measure</w:t>
            </w:r>
          </w:p>
        </w:tc>
        <w:tc>
          <w:tcPr>
            <w:tcW w:type="dxa" w:w="277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658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files</w:t>
            </w:r>
          </w:p>
        </w:tc>
        <w:tc>
          <w:tcPr>
            <w:tcW w:type="dxa" w:w="277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r>
      <w:tr>
        <w:trPr>
          <w:cantSplit/>
        </w:trPr>
        <w:tc>
          <w:tcPr>
            <w:tcW w:type="dxa" w:w="658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Working artifacts</w:t>
            </w:r>
          </w:p>
        </w:tc>
        <w:tc>
          <w:tcPr>
            <w:tcW w:type="dxa" w:w="277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r>
      <w:tr>
        <w:trPr>
          <w:cantSplit/>
        </w:trPr>
        <w:tc>
          <w:tcPr>
            <w:tcW w:type="dxa" w:w="658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Unresolved findings</w:t>
            </w:r>
          </w:p>
        </w:tc>
        <w:tc>
          <w:tcPr>
            <w:tcW w:type="dxa" w:w="277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0</w:t>
            </w:r>
          </w:p>
        </w:tc>
      </w:tr>
    </w:tbl>
    <w:p>
      <w:pPr>
        <w:pStyle w:val="Heading1"/>
      </w:pPr>
      <w:r>
        <w:t xml:space="preserve">Approved field use</w:t>
      </w:r>
    </w:p>
    <w:p>
      <w:r>
        <w:t xml:space="preserve">The first 25 working rows appear here. Each working preview is limited to 1000 characters. Complete rows and all exact source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054"/>
        <w:gridCol w:w="7306"/>
      </w:tblGrid>
      <w:tr>
        <w:trPr>
          <w:cantSplit/>
          <w:tblHeader/>
        </w:trPr>
        <w:tc>
          <w:tcPr>
            <w:tcW w:type="dxa" w:w="205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730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Working result</w:t>
            </w:r>
          </w:p>
        </w:tc>
      </w:tr>
      <w:tr>
        <w:trPr>
          <w:cantSplit/>
        </w:trPr>
        <w:tc>
          <w:tcPr>
            <w:tcW w:type="dxa" w:w="20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Record id</w:t>
            </w:r>
          </w:p>
        </w:tc>
        <w:tc>
          <w:tcPr>
            <w:tcW w:type="dxa" w:w="73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field record_id; populated count 1; blank count 0; approved purpose Customer-approved portability; exception ref </w:t>
            </w:r>
          </w:p>
        </w:tc>
      </w:tr>
      <w:tr>
        <w:trPr>
          <w:cantSplit/>
        </w:trPr>
        <w:tc>
          <w:tcPr>
            <w:tcW w:type="dxa" w:w="205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w:t>
            </w:r>
          </w:p>
        </w:tc>
        <w:tc>
          <w:tcPr>
            <w:tcW w:type="dxa" w:w="730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field name; populated count 1; blank count 0; approved purpose Customer-approved portability; exception ref </w:t>
            </w:r>
          </w:p>
        </w:tc>
      </w:tr>
    </w:tbl>
    <w:p>
      <w:pPr>
        <w:pStyle w:val="Heading1"/>
      </w:pPr>
      <w:r>
        <w:t xml:space="preserve">Portable working records</w:t>
      </w:r>
    </w:p>
    <w:p>
      <w:r>
        <w:t xml:space="preserve">The first 25 working rows appear here. Each working preview is limited to 1000 characters. Complete rows and all exact source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054"/>
        <w:gridCol w:w="7306"/>
      </w:tblGrid>
      <w:tr>
        <w:trPr>
          <w:cantSplit/>
          <w:tblHeader/>
        </w:trPr>
        <w:tc>
          <w:tcPr>
            <w:tcW w:type="dxa" w:w="205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730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Working result</w:t>
            </w:r>
          </w:p>
        </w:tc>
      </w:tr>
      <w:tr>
        <w:trPr>
          <w:cantSplit/>
        </w:trPr>
        <w:tc>
          <w:tcPr>
            <w:tcW w:type="dxa" w:w="20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REC1</w:t>
            </w:r>
          </w:p>
        </w:tc>
        <w:tc>
          <w:tcPr>
            <w:tcW w:type="dxa" w:w="73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record id REC1; name Fictional person</w:t>
            </w:r>
          </w:p>
        </w:tc>
      </w:tr>
    </w:tbl>
    <w:p>
      <w:pPr>
        <w:pStyle w:val="Heading1"/>
      </w:pPr>
      <w:r>
        <w:t xml:space="preserve">Source-linked checks</w:t>
      </w:r>
    </w:p>
    <w:p>
      <w:r>
        <w:t xml:space="preserve">The formal report shows at most the first 100 named check rows and 400 characters per displayed field. Complete values, result columns, sources and output are retained in the Excel and JSON files.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687"/>
        <w:gridCol w:w="1134"/>
        <w:gridCol w:w="4539"/>
      </w:tblGrid>
      <w:tr>
        <w:trPr>
          <w:cantSplit/>
          <w:tblHeader/>
        </w:trPr>
        <w:tc>
          <w:tcPr>
            <w:tcW w:type="dxa" w:w="368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113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453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368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Comparison / 2 / record_id</w:t>
            </w:r>
          </w:p>
        </w:tc>
        <w:tc>
          <w:tcPr>
            <w:tcW w:type="dxa" w:w="113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Checked</w:t>
            </w:r>
          </w:p>
        </w:tc>
        <w:tc>
          <w:tcPr>
            <w:tcW w:type="dxa" w:w="453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field rule and customer approval recorded.</w:t>
            </w:r>
          </w:p>
        </w:tc>
      </w:tr>
      <w:tr>
        <w:trPr>
          <w:cantSplit/>
        </w:trPr>
        <w:tc>
          <w:tcPr>
            <w:tcW w:type="dxa" w:w="368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Comparison / 3 / name</w:t>
            </w:r>
          </w:p>
        </w:tc>
        <w:tc>
          <w:tcPr>
            <w:tcW w:type="dxa" w:w="113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Checked</w:t>
            </w:r>
          </w:p>
        </w:tc>
        <w:tc>
          <w:tcPr>
            <w:tcW w:type="dxa" w:w="453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field rule and customer approval recorded.</w:t>
            </w:r>
          </w:p>
        </w:tc>
      </w:tr>
    </w:tbl>
    <w:p>
      <w:pPr>
        <w:pStyle w:val="Heading1"/>
      </w:pPr>
      <w:r>
        <w:t xml:space="preserve">Unresolved items and limitations</w:t>
      </w:r>
    </w:p>
    <w:p>
      <w:pPr>
        <w:pStyle w:val="ListParagraph"/>
        <w:numPr>
          <w:ilvl w:val="0"/>
          <w:numId w:val="1"/>
        </w:numPr>
      </w:pPr>
      <w:r>
        <w:t xml:space="preserve">Working results use exact local sources and explicitly selected versions. Originals remain unchanged in this browser. No source authenticity, population completeness, vulnerability exploitability, legal applicability, license conclusion, consent validity, food safety or external submission is established.</w:t>
      </w:r>
    </w:p>
    <w:p>
      <w:pPr>
        <w:pStyle w:val="Heading1"/>
        <w:keepNext/>
      </w:pPr>
      <w:r>
        <w:t xml:space="preserve">Limitations</w:t>
      </w:r>
    </w:p>
    <w:p>
      <w:pPr>
        <w:pStyle w:val="ListParagraph"/>
        <w:keepNext w:val="false"/>
        <w:keepLines/>
        <w:numPr>
          <w:ilvl w:val="0"/>
          <w:numId w:val="1"/>
        </w:numPr>
      </w:pPr>
      <w:r>
        <w:t xml:space="preserve">Working results use exact local sources and explicitly selected versions. Originals remain unchanged in this browser. No source authenticity, population completeness, vulnerability exploitability, legal applicability, license conclusion, consent validity, food safety or external submission is established.</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RFC Editor: Common Format and MIME Type for CSV Files</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Supports CSV interchange only. It specifies no approved domain population, legal criterion or task decision.</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ni3nfffjnkaf0auggh-rg">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3-portability-formatter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ni3nfffjnkaf0auggh-rg" Type="http://schemas.openxmlformats.org/officeDocument/2006/relationships/hyperlink" Target="https://www.rfc-editor.org/rfc/rfc4180"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Portability formatter</dc:title>
  <dc:subject>Fictional sample. Requires tailoring and responsible review.</dc:subject>
  <dc:creator>Business Compliance Tools</dc:creator>
  <cp:keywords>compliance, evidence, us</cp:keywords>
  <dc:description>Portability formatter</dc:description>
  <cp:lastModifiedBy>Business Compliance Tools</cp:lastModifiedBy>
  <cp:revision>1</cp:revision>
  <dcterms:created xsi:type="dcterms:W3CDTF">2026-10-09T02:17:10.567Z</dcterms:created>
  <dcterms:modified xsi:type="dcterms:W3CDTF">2026-10-09T02:17:10.567Z</dcterms:modified>
</cp:coreProperties>
</file>

<file path=docProps/custom.xml><?xml version="1.0" encoding="utf-8"?>
<Properties xmlns="http://schemas.openxmlformats.org/officeDocument/2006/custom-properties" xmlns:vt="http://schemas.openxmlformats.org/officeDocument/2006/docPropsVTypes"/>
</file>