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Ownership chart generator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Draw a source-linked direct and indirect ownership chart with all declared nodes, exact direct percentages and focus-entity path fractions.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review</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workflow. Replace every example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Validate distinct nodes, directed relationships, allocation totals and acyclic ordering. Render the full graph as SVG with unresolved edges and incomplete nodes marked. Compute exact rational natural-person path totals through dynamic programming. Retain all full names, source links and isolated nodes.</w:t>
      </w:r>
    </w:p>
    <w:p>
      <w:r>
        <w:t xml:space="preserve">Up to 100 nodes and 100 edges. Cyclic, trust, nominee and disputed interests require separate review. SVG labels use abbreviated visual names with complete names in accessible titles and the formal node table. A declared economic fraction is not OFAC blocking propagation.</w:t>
      </w:r>
    </w:p>
    <w:p>
      <w:r>
        <w:t xml:space="preserve">All original evidence, customer rules and factual verification are customer declarations. File hashes establish retained byte identity only.</w:t>
      </w:r>
    </w:p>
    <w:p>
      <w:r>
        <w:t xml:space="preserve">The tool does not perform live screening, authenticate identities, decide legal applicability, approve transactions, file reports or certify effective controls.</w:t>
      </w:r>
    </w:p>
    <w:p>
      <w:r>
        <w:t xml:space="preserve">Prepared results preserve complete accepted records. Recovery does not restore payment, source authentication or fresh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Graph nodes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Graph edges</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Ownership chart and exact graph</w:t>
      </w:r>
    </w:p>
    <w:p>
      <w:r>
        <w:t xml:space="preserve">The complete visual chart is included as ownership-chart.svg in the formal pack. All exact nodes, edges and fractions appear below. Dashed chart marks indicate unresolved sources or incomplete ownership.</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380"/>
        <w:gridCol w:w="1040"/>
        <w:gridCol w:w="390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33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Name</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9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Incomplete source or ownership</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c>
          <w:tcPr>
            <w:tcW w:type="dxa" w:w="33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person one</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w:t>
            </w:r>
          </w:p>
        </w:tc>
        <w:tc>
          <w:tcPr>
            <w:tcW w:type="dxa" w:w="39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33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holding entity</w:t>
            </w:r>
          </w:p>
        </w:tc>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c>
          <w:tcPr>
            <w:tcW w:type="dxa" w:w="39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33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operating entity</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c>
          <w:tcPr>
            <w:tcW w:type="dxa" w:w="39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bl>
    <w:p>
      <w:pPr>
        <w:pStyle w:val="Heading1"/>
      </w:pPr>
      <w:r>
        <w:t xml:space="preserve">1. Original evidence source (S1)</w:t>
      </w:r>
    </w:p>
    <w:p>
      <w:r>
        <w:t xml:space="preserve">State. Customer verification linked</w:t>
      </w:r>
    </w:p>
    <w:p>
      <w:r>
        <w:t xml:space="preserve">Customer-declared source identity and verification. Original contents are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real source evidence.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The complete archive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FICTIONAL-control-evidence.txt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208</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158b727cc608104a93cc176d0e3cd7b62a9d775a674e30837ae8f7fb5bc5ceff</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customer-approved policy retained. Applicability and authority remain customer declarations.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Approver</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 date</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Ownership chart node (P1)</w:t>
      </w:r>
    </w:p>
    <w:p>
      <w:r>
        <w:t xml:space="preserve">State. Customer snapshot linked</w:t>
      </w:r>
    </w:p>
    <w:p>
      <w:r>
        <w:t xml:space="preserve">Exact declared node appears in the rendered chart. Isolated and unreported interests remain visible.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760"/>
        <w:gridCol w:w="3600"/>
      </w:tblGrid>
      <w:tr>
        <w:trPr>
          <w:cantSplit/>
          <w:tblHeader/>
        </w:trPr>
        <w:tc>
          <w:tcPr>
            <w:tcW w:type="dxa" w:w="57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6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7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person one</w:t>
            </w:r>
          </w:p>
        </w:tc>
      </w:tr>
      <w:tr>
        <w:trPr>
          <w:cantSplit/>
        </w:trPr>
        <w:tc>
          <w:tcPr>
            <w:tcW w:type="dxa" w:w="57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Kind</w:t>
            </w:r>
          </w:p>
        </w:tc>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w:t>
            </w:r>
          </w:p>
        </w:tc>
      </w:tr>
      <w:tr>
        <w:trPr>
          <w:cantSplit/>
        </w:trPr>
        <w:tc>
          <w:tcPr>
            <w:tcW w:type="dxa" w:w="57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Ownership declared complete</w:t>
            </w:r>
          </w:p>
        </w:tc>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57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Listed direct total percent</w:t>
            </w:r>
          </w:p>
        </w:tc>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57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Focus</w:t>
            </w:r>
          </w:p>
        </w:tc>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57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Ownership chart node (E1)</w:t>
      </w:r>
    </w:p>
    <w:p>
      <w:r>
        <w:t xml:space="preserve">State. Customer snapshot linked</w:t>
      </w:r>
    </w:p>
    <w:p>
      <w:r>
        <w:t xml:space="preserve">Exact declared node appears in the rendered chart. Isolated and unreported interests remain visible.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348"/>
        <w:gridCol w:w="4012"/>
      </w:tblGrid>
      <w:tr>
        <w:trPr>
          <w:cantSplit/>
          <w:tblHeader/>
        </w:trPr>
        <w:tc>
          <w:tcPr>
            <w:tcW w:type="dxa" w:w="53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0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3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holding entity</w:t>
            </w:r>
          </w:p>
        </w:tc>
      </w:tr>
      <w:tr>
        <w:trPr>
          <w:cantSplit/>
        </w:trPr>
        <w:tc>
          <w:tcPr>
            <w:tcW w:type="dxa" w:w="53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Kind</w:t>
            </w:r>
          </w:p>
        </w:tc>
        <w:tc>
          <w:tcPr>
            <w:tcW w:type="dxa" w:w="4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r>
      <w:tr>
        <w:trPr>
          <w:cantSplit/>
        </w:trPr>
        <w:tc>
          <w:tcPr>
            <w:tcW w:type="dxa" w:w="53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Ownership declared complete</w:t>
            </w:r>
          </w:p>
        </w:tc>
        <w:tc>
          <w:tcPr>
            <w:tcW w:type="dxa" w:w="4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53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Listed direct total percent</w:t>
            </w:r>
          </w:p>
        </w:tc>
        <w:tc>
          <w:tcPr>
            <w:tcW w:type="dxa" w:w="4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53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Focus</w:t>
            </w:r>
          </w:p>
        </w:tc>
        <w:tc>
          <w:tcPr>
            <w:tcW w:type="dxa" w:w="4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53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Ownership chart node (E2)</w:t>
      </w:r>
    </w:p>
    <w:p>
      <w:r>
        <w:t xml:space="preserve">State. Incomplete source or ownership</w:t>
      </w:r>
    </w:p>
    <w:p>
      <w:r>
        <w:t xml:space="preserve">Exact declared node appears in the rendered chart. Isolated and unreported interests remain visible.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164"/>
        <w:gridCol w:w="4196"/>
      </w:tblGrid>
      <w:tr>
        <w:trPr>
          <w:cantSplit/>
          <w:tblHeader/>
        </w:trPr>
        <w:tc>
          <w:tcPr>
            <w:tcW w:type="dxa" w:w="516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1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1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1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operating entity</w:t>
            </w:r>
          </w:p>
        </w:tc>
      </w:tr>
      <w:tr>
        <w:trPr>
          <w:cantSplit/>
        </w:trPr>
        <w:tc>
          <w:tcPr>
            <w:tcW w:type="dxa" w:w="516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Kind</w:t>
            </w:r>
          </w:p>
        </w:tc>
        <w:tc>
          <w:tcPr>
            <w:tcW w:type="dxa" w:w="41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r>
      <w:tr>
        <w:trPr>
          <w:cantSplit/>
        </w:trPr>
        <w:tc>
          <w:tcPr>
            <w:tcW w:type="dxa" w:w="51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Ownership declared complete</w:t>
            </w:r>
          </w:p>
        </w:tc>
        <w:tc>
          <w:tcPr>
            <w:tcW w:type="dxa" w:w="41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516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Listed direct total percent</w:t>
            </w:r>
          </w:p>
        </w:tc>
        <w:tc>
          <w:tcPr>
            <w:tcW w:type="dxa" w:w="41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51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Focus</w:t>
            </w:r>
          </w:p>
        </w:tc>
        <w:tc>
          <w:tcPr>
            <w:tcW w:type="dxa" w:w="41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516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1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Direct ownership edge (EDGE1)</w:t>
      </w:r>
    </w:p>
    <w:p>
      <w:r>
        <w:t xml:space="preserve">State. Customer snapshot linked</w:t>
      </w:r>
    </w:p>
    <w:p>
      <w:r>
        <w:t xml:space="preserve">The exact directed source relationship and percentage appear in the chart. Dashed edges are unresolved.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Direct percent</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8. Direct ownership edge (EDGE2)</w:t>
      </w:r>
    </w:p>
    <w:p>
      <w:r>
        <w:t xml:space="preserve">State. Customer snapshot linked</w:t>
      </w:r>
    </w:p>
    <w:p>
      <w:r>
        <w:t xml:space="preserve">The exact directed source relationship and percentage appear in the chart. Dashed edges are unresolved.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Direct percent</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9. Indirect relationship total (P1)</w:t>
      </w:r>
    </w:p>
    <w:p>
      <w:r>
        <w:t xml:space="preserve">State. Declared graph fraction</w:t>
      </w:r>
    </w:p>
    <w:p>
      <w:r>
        <w:t xml:space="preserve">Exact economic path fraction in the supplied graph. Unverified edges remain declared and do not establish actual ownership or blocking.</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Focus entity</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ownership fraction</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35"/>
        <w:gridCol w:w="4425"/>
      </w:tblGrid>
      <w:tr>
        <w:trPr>
          <w:cantSplit/>
          <w:tblHeader/>
        </w:trPr>
        <w:tc>
          <w:tcPr>
            <w:tcW w:type="dxa" w:w="49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4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id</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name</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person one</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kind</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ownershipComplete</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sourceIds</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id</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name</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holding entity</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kind</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ownershipComplete</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sourceIds</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id</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name</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operating entity</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kind</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ownershipComplete</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sourceIds</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reference</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EDGE1</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ownerId</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entityId</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percent</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verification</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sourceIds</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2. reference</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EDGE2</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2. ownerId</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2. entityId</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2. percent</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2. verification</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9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2. sourceIds</w:t>
            </w:r>
          </w:p>
        </w:tc>
        <w:tc>
          <w:tcPr>
            <w:tcW w:type="dxa" w:w="44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focusEntityId</w:t>
            </w:r>
          </w:p>
        </w:tc>
        <w:tc>
          <w:tcPr>
            <w:tcW w:type="dxa" w:w="44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Beneficial Ownership Requirements for Legal Entity Customers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Bank examination guidance distinguishes source verification, ownership and control information. A supplied chart does not authenticate relationships or determine legal beneficial ownership.</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0a2sxpw24uzslizib4l2l">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a2sxpw24uzslizib4l2l" Type="http://schemas.openxmlformats.org/officeDocument/2006/relationships/hyperlink" Target="https://bsaaml.ffiec.gov/manual/AssessingComplianceWithBSARegulatoryRequirements/03"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Ownership chart generator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