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Whistleblowing intake assistant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Extract exact customer-selected statement quotes, preserve allegations and unknowns, and prepare a restricted routing record from approved rules.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Match UTF-16 quote offsets against the unchanged statement, record who/what/when/where/concern/policy coverage, and join concern topic and urgency to one exact approved routing rule. Calculate the customer review date in calendar days.</w:t>
      </w:r>
    </w:p>
    <w:p>
      <w:r>
        <w:t xml:space="preserve">No credibility determination, external report, statutory protection claim or authenticated anonymity. Up to 100 records per table, 4,000 characters per statement.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85"/>
        <w:gridCol w:w="2675"/>
      </w:tblGrid>
      <w:tr>
        <w:trPr>
          <w:cantSplit/>
          <w:tblHeader/>
        </w:trPr>
        <w:tc>
          <w:tcPr>
            <w:tcW w:type="dxa" w:w="668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67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8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Intake statements</w:t>
            </w:r>
          </w:p>
        </w:tc>
        <w:tc>
          <w:tcPr>
            <w:tcW w:type="dxa" w:w="267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668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Selected fact quotes</w:t>
            </w:r>
          </w:p>
        </w:tc>
        <w:tc>
          <w:tcPr>
            <w:tcW w:type="dxa" w:w="267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Exact intake statement (STAT1)</w:t>
      </w:r>
    </w:p>
    <w:p>
      <w:r>
        <w:t xml:space="preserve">State. Documented</w:t>
      </w:r>
    </w:p>
    <w:p>
      <w:r>
        <w:t xml:space="preserve">Statement retained verbatim. Credibility is not determined.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clerk reported a missing control log.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5. Source-linked intake fact (FACT1)</w:t>
      </w:r>
    </w:p>
    <w:p>
      <w:r>
        <w:t xml:space="preserve">State. Alleged</w:t>
      </w:r>
    </w:p>
    <w:p>
      <w:r>
        <w:t xml:space="preserve">Only customer-selected exact quotes are extracted. Allegations remain allegations.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372"/>
        <w:gridCol w:w="2988"/>
      </w:tblGrid>
      <w:tr>
        <w:trPr>
          <w:cantSplit/>
          <w:tblHeader/>
        </w:trPr>
        <w:tc>
          <w:tcPr>
            <w:tcW w:type="dxa" w:w="63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9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3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29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FACT1</w:t>
            </w:r>
          </w:p>
        </w:tc>
      </w:tr>
      <w:tr>
        <w:trPr>
          <w:cantSplit/>
        </w:trPr>
        <w:tc>
          <w:tcPr>
            <w:tcW w:type="dxa" w:w="63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statementReference</w:t>
            </w:r>
          </w:p>
        </w:tc>
        <w:tc>
          <w:tcPr>
            <w:tcW w:type="dxa" w:w="29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STAT1</w:t>
            </w:r>
          </w:p>
        </w:tc>
      </w:tr>
      <w:tr>
        <w:trPr>
          <w:cantSplit/>
        </w:trPr>
        <w:tc>
          <w:tcPr>
            <w:tcW w:type="dxa" w:w="63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category</w:t>
            </w:r>
          </w:p>
        </w:tc>
        <w:tc>
          <w:tcPr>
            <w:tcW w:type="dxa" w:w="29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Who</w:t>
            </w:r>
          </w:p>
        </w:tc>
      </w:tr>
      <w:tr>
        <w:trPr>
          <w:cantSplit/>
        </w:trPr>
        <w:tc>
          <w:tcPr>
            <w:tcW w:type="dxa" w:w="63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exactQuote</w:t>
            </w:r>
          </w:p>
        </w:tc>
        <w:tc>
          <w:tcPr>
            <w:tcW w:type="dxa" w:w="29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clerk</w:t>
            </w:r>
          </w:p>
        </w:tc>
      </w:tr>
      <w:tr>
        <w:trPr>
          <w:cantSplit/>
        </w:trPr>
        <w:tc>
          <w:tcPr>
            <w:tcW w:type="dxa" w:w="63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start</w:t>
            </w:r>
          </w:p>
        </w:tc>
        <w:tc>
          <w:tcPr>
            <w:tcW w:type="dxa" w:w="29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63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end</w:t>
            </w:r>
          </w:p>
        </w:tc>
        <w:tc>
          <w:tcPr>
            <w:tcW w:type="dxa" w:w="29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63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verification</w:t>
            </w:r>
          </w:p>
        </w:tc>
        <w:tc>
          <w:tcPr>
            <w:tcW w:type="dxa" w:w="29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Alleged</w:t>
            </w:r>
          </w:p>
        </w:tc>
      </w:tr>
      <w:tr>
        <w:trPr>
          <w:cantSplit/>
        </w:trPr>
        <w:tc>
          <w:tcPr>
            <w:tcW w:type="dxa" w:w="63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29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63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29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3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9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6. Intake fact coverage (What)</w:t>
      </w:r>
    </w:p>
    <w:p>
      <w:r>
        <w:t xml:space="preserve">State. Unresolved</w:t>
      </w:r>
    </w:p>
    <w:p>
      <w:r>
        <w:t xml:space="preserve">No selected exact quote covers this fact category.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7. Intake fact coverage (When)</w:t>
      </w:r>
    </w:p>
    <w:p>
      <w:r>
        <w:t xml:space="preserve">State. Unresolved</w:t>
      </w:r>
    </w:p>
    <w:p>
      <w:r>
        <w:t xml:space="preserve">No selected exact quote covers this fact category.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8. Intake fact coverage (Where)</w:t>
      </w:r>
    </w:p>
    <w:p>
      <w:r>
        <w:t xml:space="preserve">State. Unresolved</w:t>
      </w:r>
    </w:p>
    <w:p>
      <w:r>
        <w:t xml:space="preserve">No selected exact quote covers this fact category.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9. Intake fact coverage (Concern)</w:t>
      </w:r>
    </w:p>
    <w:p>
      <w:r>
        <w:t xml:space="preserve">State. Unresolved</w:t>
      </w:r>
    </w:p>
    <w:p>
      <w:r>
        <w:t xml:space="preserve">No selected exact quote covers this fact category.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10. Intake fact coverage (Policy)</w:t>
      </w:r>
    </w:p>
    <w:p>
      <w:r>
        <w:t xml:space="preserve">State. Unresolved</w:t>
      </w:r>
    </w:p>
    <w:p>
      <w:r>
        <w:t xml:space="preserve">No selected exact quote covers this fact category.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656"/>
        <w:gridCol w:w="2704"/>
      </w:tblGrid>
      <w:tr>
        <w:trPr>
          <w:cantSplit/>
          <w:tblHeader/>
        </w:trPr>
        <w:tc>
          <w:tcPr>
            <w:tcW w:type="dxa" w:w="66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270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6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270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None supplied</w:t>
            </w:r>
          </w:p>
        </w:tc>
      </w:tr>
    </w:tbl>
    <w:p>
      <w:pPr>
        <w:pStyle w:val="Heading1"/>
      </w:pPr>
      <w:r>
        <w:t xml:space="preserve">11. Customer-rule routing preparation (CONCERN1)</w:t>
      </w:r>
    </w:p>
    <w:p>
      <w:r>
        <w:t xml:space="preserve">State. Prepared route</w:t>
      </w:r>
    </w:p>
    <w:p>
      <w:r>
        <w:t xml:space="preserve">No message, referral or case assignment is sent. The customer approves restricted access and routing.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CONCERN1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topic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 records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urgency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["STAT1"]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Matching rules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[{"reference":"RULE1","topic":"Control records","urgency":"Routine","assignedOwner":"Fictional restricted reviewer","restrictedAudience":"Fictional intake reviewers","daysToReview":5,"sourceIds":["S1"]}]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Review due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6,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Deadline state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Past customer date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12. Unresolved intake question (UNKNOWN1)</w:t>
      </w:r>
    </w:p>
    <w:p>
      <w:r>
        <w:t xml:space="preserve">State. Unresolved</w:t>
      </w:r>
    </w:p>
    <w:p>
      <w:r>
        <w:t xml:space="preserve">The question remains open without a credibility or protection finding.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question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Which control version governed the event?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receivedOn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channel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private internal channel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reporterMode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Anonymous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reporterReference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statements 1. text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clerk reported a missing control log.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statements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FACT1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statementReference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category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Who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exactQuote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clerk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start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end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verification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Alleged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extractedFacts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concerns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CONCERN1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concerns 1. topic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 records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concerns 1. urgency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concerns 1. statementIds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concerns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routingRules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routingRules 1. topic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Control records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routingRules 1. urgency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routingRules 1. assignedOwner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restricted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routingRules 1. restrictedAudience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intake reviewers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routingRules 1. daysToReview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routingRules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question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Which control version governed the event?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owner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unknowns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Securities and Exchange Commission: Whistleblower Frequently Asked Questions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The SEC explains direct reporting and Rule 21F-17 protections. An internal intake record does not establish statutory protection, require internal reporting first or make a report to the SEC.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zdizioorxnx2p6pb7-0ng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  <w:tr>
        <w:trPr>
          <w:cantSplit/>
        </w:trPr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Evaluation of Corporate Compliance Programs. September 2024</w:t>
            </w:r>
          </w:p>
        </w:tc>
        <w:tc>
          <w:tcPr>
            <w:tcW w:type="dxa" w:w="302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Program evaluation considers reporting, policies, role-appropriate training, testing and remediation. Customer-recorded events are not authenticated participation, delivery, competence or certification.</w:t>
            </w:r>
          </w:p>
        </w:tc>
        <w:tc>
          <w:tcPr>
            <w:tcW w:type="dxa" w:w="141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ayk5zqqhsgjey9memyamj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dizioorxnx2p6pb7-0ng" Type="http://schemas.openxmlformats.org/officeDocument/2006/relationships/hyperlink" Target="https://www.sec.gov/enforcement-litigation/whistleblower-program/whistleblower-frequently-asked-questions" TargetMode="External"/><Relationship Id="rIdayk5zqqhsgjey9memyamj" Type="http://schemas.openxmlformats.org/officeDocument/2006/relationships/hyperlink" Target="https://www.justice.gov/criminal/criminal-fraud/page/file/937501/download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Whistleblowing intake assistant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