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Backup restore outcome comparator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Compare each customer-run restored part against an approved baseline manifest, exact count, retained hash and data-age tolerance.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Match frozen baseline version, restore ID and part identity. Compare absolute record-count differences, exact SHA-256 and recovered-data age with one approved tolerance. Missing or duplicated whole parts remain unresolved.</w:t>
      </w:r>
    </w:p>
    <w:p>
      <w:r>
        <w:t xml:space="preserve">No live restore, recovery execution or independent functional validation. Hash identity only covers supplied bytes and annotations.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parts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Parts outside approved tolerance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parts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Restore manifest part comparison (PART1)</w:t>
      </w:r>
    </w:p>
    <w:p>
      <w:r>
        <w:t xml:space="preserve">State. Within approved tolerance</w:t>
      </w:r>
    </w:p>
    <w:p>
      <w:r>
        <w:t xml:space="preserve">Only customer-run restore observations are compared. No live restore or recovery validation is performed.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{"reference":"PART1","sourceIds":["S1"],"part":"Fictional records","version":"fictional-v1","recordCount":1000,"sha256":"1111111111111111111111111111111111111111111111111111111111111111","dataAt":"2026-10-01T08:00:00.000Z"}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observation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[{"reference":"OBS1","sourceIds":["S1"],"restoreReference":"RESTORE1","baselineReference":"PART1","baselineVersion":"fictional-v1","part":"Fictional records","recordCount":998,"sha256":"1111111111111111111111111111111111111111111111111111111111111111","dataAt":"2026-10-01T08:00:00.000Z","restoredAt":"2026-10-01T10:00:00.000Z"}]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tolerance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[{"reference":"TOL1","sourceIds":["S1"],"baselineReference":"PART1","baselineVersion":"fictional-v1","maximumCountDifference":2,"maximumAgeMinutes":120,"hashRequired":"Yes","approvedBy":"Fictional approver","approvedOn":"2026-10-02"}]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Absolute record-count difference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Recovered data age milliseconds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7200000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 hash matches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part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records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recordCount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baselines 1. dataAt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2026-10-01T08:00:00.000Z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restoreReference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RESTORE1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baselineReference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baselineVersion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part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records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recordCount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998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dataAt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2026-10-01T08:00:00.000Z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restoredAt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2026-10-01T10:00:00.000Z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baselineReference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baselineVersion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maximumCountDifference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maximumAgeMinutes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hashRequired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tolerances 1. 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Contingency Planning Guide for Federal Information Systems. SP 800-34 Revision 1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Sections 3.2 and 3.5.1 and Appendix B support impact analysis, distinct RTO/RPO/maximum disruption, testing, after-action findings and corrective actions. Federal guidance is a voluntary method reference for private customers. No current control baseline or legal obligation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4qtdhvh7xgdddabmaecmt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4qtdhvh7xgdddabmaecmt" Type="http://schemas.openxmlformats.org/officeDocument/2006/relationships/hyperlink" Target="https://csrc.nist.gov/pubs/sp/800/34/r1/upd1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 restore outcome comparator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