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Business impact analysis preparation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2026-10-09.assurance-resilience.1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Assemble process impact assumptions, required resources and explicit recovery targets in a customer-prioritized impact analysis.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Example Company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case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scope. Replace all example records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Order customer process priorities, find earliest impact reaching the approved severity threshold and compare RTO with maximum disruption and critical impact. Calculate per-resource capacity gaps and retain every dependency and assumption.</w:t>
      </w:r>
    </w:p>
    <w:p>
      <w:r>
        <w:t xml:space="preserve">No automatic business criticality or regulatory applicability. Monetary impacts across durations and currencies are never added together. Up to 100 rows per table, 20 originals and 25,000,000 combined original bytes.</w:t>
      </w:r>
    </w:p>
    <w:p>
      <w:r>
        <w:t xml:space="preserve">Original contents, annotations, approvals, reported events and applicability remain customer declarations. File hashes establish retained byte identity only.</w:t>
      </w:r>
    </w:p>
    <w:p>
      <w:r>
        <w:t xml:space="preserve">No SOC assurance, live restore, actual failover, legal service, legal classification, contract negotiation, transaction approval or external communication occurs.</w:t>
      </w:r>
    </w:p>
    <w:p>
      <w:r>
        <w:t xml:space="preserve">All accepted records remain complete. Recovery preserves original bytes and frozen results without creating fresh payment, source authentication,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280"/>
        <w:gridCol w:w="2080"/>
      </w:tblGrid>
      <w:tr>
        <w:trPr>
          <w:cantSplit/>
          <w:tblHeader/>
        </w:trPr>
        <w:tc>
          <w:tcPr>
            <w:tcW w:type="dxa" w:w="72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0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2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processes</w:t>
            </w:r>
          </w:p>
        </w:tc>
        <w:tc>
          <w:tcPr>
            <w:tcW w:type="dxa" w:w="20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2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resource shortfalls</w:t>
            </w:r>
          </w:p>
        </w:tc>
        <w:tc>
          <w:tcPr>
            <w:tcW w:type="dxa" w:w="20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original identity and verification only. Content is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fileId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sourceDate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actual evidence.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FICTIONAL-assurance-resilience-evidence.txt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mimeType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06569f98e8a6ebac8b1f9470fd3bdbefd8d3c577e4bc765ee106601022f85c71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approved customer scope. No automatic legal applicability.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990"/>
        <w:gridCol w:w="3370"/>
      </w:tblGrid>
      <w:tr>
        <w:trPr>
          <w:cantSplit/>
          <w:tblHeader/>
        </w:trPr>
        <w:tc>
          <w:tcPr>
            <w:tcW w:type="dxa" w:w="599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37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approvedBy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approvedOn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99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337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599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37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Process impact and recovery target (PROCESS1)</w:t>
      </w:r>
    </w:p>
    <w:p>
      <w:r>
        <w:t xml:space="preserve">State. Resource capacity gap</w:t>
      </w:r>
    </w:p>
    <w:p>
      <w:r>
        <w:t xml:space="preserve">RTO, RPO and maximum disruption are exact customer targets. Earliest critical impact uses the approved severity threshold. Monetary assumptions across durations or currencies are never summed.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dispatch process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operations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priority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rtoMinutes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rpoMinutes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maximumDisruptionMinutes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duration-linked impact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[{"reference":"IMPACT1","sourceIds":["S1"],"processReference":"PROCESS1","afterMinutes":30,"category":"Fictional service impact","severity":2,"monetaryImpact":"100.50","currency":"USD","assumption":"FICTIONAL estimate for one 30-minute disruption only."},{"reference":"IMPACT2","sourceIds":["S1"],"processReference":"PROCESS1","afterMinutes":90,"category":"Fictional service impact","severity":4,"monetaryImpact":"300.75","currency":"USD","assumption":"FICTIONAL independent 90-minute estimate. Do not sum durations."}]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resource dependency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[{"reference":"RESOURCE1","sourceIds":["S1"],"processReference":"PROCESS1","resource":"Fictional trained operators","requiredUnits":4,"availableUnits":3,"dependencyProcessReference":"","alternative":"Fictional staffing review required"}]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Earliest critical-impact 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Capacity shortfall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criticalSeverity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process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dispatch process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operations owner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priority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rtoMinutes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rpoMinutes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processes 1. maximumDisruptionMinutes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processReference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afterMinutes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category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service impact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severity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monetaryImpact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100.50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currency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1. assumption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estimate for one 30-minute disruption only.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processReference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afterMinutes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service impact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severity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monetaryImpact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300.75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impacts 2. assumption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independent 90-minute estimate. Do not sum durations.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processReference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PROCESS1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resource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trained operators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requiredUnits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availableUnits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dependencyProcessReference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resources 1. alternative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staffing review required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Contingency Planning Guide for Federal Information Systems. SP 800-34 Revision 1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Sections 3.2 and 3.5.1 and Appendix B support impact analysis, distinct RTO/RPO/maximum disruption, testing, after-action findings and corrective actions. Federal guidance is a voluntary method reference for private customers. No current control baseline or legal obligation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q7fo4upwi9zlylnmmy2i3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q7fo4upwi9zlylnmmy2i3" Type="http://schemas.openxmlformats.org/officeDocument/2006/relationships/hyperlink" Target="https://csrc.nist.gov/pubs/sp/800/34/r1/upd1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impact analysis preparation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