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20" w:before="100"/>
      </w:pPr>
      <w:r>
        <w:rPr>
          <w:rFonts w:ascii="Times New Roman" w:cs="Times New Roman" w:eastAsia="Times New Roman" w:hAnsi="Times New Roman"/>
          <w:b/>
          <w:bCs/>
          <w:color w:val="595959"/>
          <w:sz w:val="18"/>
          <w:szCs w:val="18"/>
        </w:rPr>
        <w:t xml:space="preserve">COMPLIANCE WORKING RECORD</w:t>
      </w:r>
    </w:p>
    <w:p>
      <w:pPr>
        <w:spacing w:after="100" w:line="500"/>
      </w:pPr>
      <w:r>
        <w:rPr>
          <w:rFonts w:ascii="Times New Roman" w:cs="Times New Roman" w:eastAsia="Times New Roman" w:hAnsi="Times New Roman"/>
          <w:b/>
          <w:bCs/>
          <w:color w:val="1F1F1F"/>
          <w:sz w:val="40"/>
          <w:szCs w:val="40"/>
        </w:rPr>
        <w:t xml:space="preserve">Customer relevance matcher</w:t>
      </w:r>
    </w:p>
    <w:p>
      <w:pPr>
        <w:spacing w:after="320" w:line="340"/>
      </w:pPr>
      <w:r>
        <w:rPr>
          <w:rFonts w:ascii="Times New Roman" w:cs="Times New Roman" w:eastAsia="Times New Roman" w:hAnsi="Times New Roman"/>
          <w:color w:val="333333"/>
          <w:sz w:val="22"/>
          <w:szCs w:val="22"/>
        </w:rPr>
        <w:t xml:space="preserve">FICTIONAL evidence sample. Requires tailoring.</w:t>
      </w:r>
    </w:p>
    <w:p>
      <w:pPr>
        <w:pStyle w:val="Heading2"/>
      </w:pPr>
      <w:r>
        <w:t xml:space="preserve">Document control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3369"/>
        <w:gridCol w:w="5991"/>
      </w:tblGrid>
      <w:tr>
        <w:trPr>
          <w:cantSplit/>
          <w:tblHeader/>
        </w:trPr>
        <w:tc>
          <w:tcPr>
            <w:tcW w:type="dxa" w:w="3369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5991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336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Document type</w:t>
            </w:r>
          </w:p>
        </w:tc>
        <w:tc>
          <w:tcPr>
            <w:tcW w:type="dxa" w:w="599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Evidence workpaper</w:t>
            </w:r>
          </w:p>
        </w:tc>
      </w:tr>
      <w:tr>
        <w:trPr>
          <w:cantSplit/>
        </w:trPr>
        <w:tc>
          <w:tcPr>
            <w:tcW w:type="dxa" w:w="336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Document reference</w:t>
            </w:r>
          </w:p>
        </w:tc>
        <w:tc>
          <w:tcPr>
            <w:tcW w:type="dxa" w:w="599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CASE-FICTIONAL</w:t>
            </w:r>
          </w:p>
        </w:tc>
      </w:tr>
      <w:tr>
        <w:trPr>
          <w:cantSplit/>
        </w:trPr>
        <w:tc>
          <w:tcPr>
            <w:tcW w:type="dxa" w:w="336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Jurisdiction</w:t>
            </w:r>
          </w:p>
        </w:tc>
        <w:tc>
          <w:tcPr>
            <w:tcW w:type="dxa" w:w="599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United States</w:t>
            </w:r>
          </w:p>
        </w:tc>
      </w:tr>
      <w:tr>
        <w:trPr>
          <w:cantSplit/>
        </w:trPr>
        <w:tc>
          <w:tcPr>
            <w:tcW w:type="dxa" w:w="336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Version</w:t>
            </w:r>
          </w:p>
        </w:tc>
        <w:tc>
          <w:tcPr>
            <w:tcW w:type="dxa" w:w="599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2026-10-09.regulatory-training.1</w:t>
            </w:r>
          </w:p>
        </w:tc>
      </w:tr>
      <w:tr>
        <w:trPr>
          <w:cantSplit/>
        </w:trPr>
        <w:tc>
          <w:tcPr>
            <w:tcW w:type="dxa" w:w="336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Status</w:t>
            </w:r>
          </w:p>
        </w:tc>
        <w:tc>
          <w:tcPr>
            <w:tcW w:type="dxa" w:w="599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sample. Requires tailoring.</w:t>
            </w:r>
          </w:p>
        </w:tc>
      </w:tr>
      <w:tr>
        <w:trPr>
          <w:cantSplit/>
        </w:trPr>
        <w:tc>
          <w:tcPr>
            <w:tcW w:type="dxa" w:w="336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Classification</w:t>
            </w:r>
          </w:p>
        </w:tc>
        <w:tc>
          <w:tcPr>
            <w:tcW w:type="dxa" w:w="599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Private</w:t>
            </w:r>
          </w:p>
        </w:tc>
      </w:tr>
      <w:tr>
        <w:trPr>
          <w:cantSplit/>
        </w:trPr>
        <w:tc>
          <w:tcPr>
            <w:tcW w:type="dxa" w:w="336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Prepared by</w:t>
            </w:r>
          </w:p>
        </w:tc>
        <w:tc>
          <w:tcPr>
            <w:tcW w:type="dxa" w:w="599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reviewer</w:t>
            </w:r>
          </w:p>
        </w:tc>
      </w:tr>
      <w:tr>
        <w:trPr>
          <w:cantSplit/>
        </w:trPr>
        <w:tc>
          <w:tcPr>
            <w:tcW w:type="dxa" w:w="336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Prepared on</w:t>
            </w:r>
          </w:p>
        </w:tc>
        <w:tc>
          <w:tcPr>
            <w:tcW w:type="dxa" w:w="599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9, 2026</w:t>
            </w:r>
          </w:p>
        </w:tc>
      </w:tr>
      <w:tr>
        <w:trPr>
          <w:cantSplit/>
        </w:trPr>
        <w:tc>
          <w:tcPr>
            <w:tcW w:type="dxa" w:w="336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Sources reviewed</w:t>
            </w:r>
          </w:p>
        </w:tc>
        <w:tc>
          <w:tcPr>
            <w:tcW w:type="dxa" w:w="599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9, 2026</w:t>
            </w:r>
          </w:p>
        </w:tc>
      </w:tr>
      <w:tr>
        <w:trPr>
          <w:cantSplit/>
        </w:trPr>
        <w:tc>
          <w:tcPr>
            <w:tcW w:type="dxa" w:w="336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Generated</w:t>
            </w:r>
          </w:p>
        </w:tc>
        <w:tc>
          <w:tcPr>
            <w:tcW w:type="dxa" w:w="599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9, 2026</w:t>
            </w:r>
          </w:p>
        </w:tc>
      </w:tr>
    </w:tbl>
    <w:p>
      <w:pPr>
        <w:pStyle w:val="Heading1"/>
        <w:pageBreakBefore/>
      </w:pPr>
      <w:r>
        <w:t xml:space="preserve">Document control and frozen case</w:t>
      </w:r>
    </w:p>
    <w:p>
      <w:r>
        <w:t xml:space="preserve">Compare customer-confirmed profiles against exact approved literal conditions and identify bounded process candidates.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3914"/>
        <w:gridCol w:w="5446"/>
      </w:tblGrid>
      <w:tr>
        <w:trPr>
          <w:cantSplit/>
          <w:tblHeader/>
        </w:trPr>
        <w:tc>
          <w:tcPr>
            <w:tcW w:type="dxa" w:w="3914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5446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391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Case reference</w:t>
            </w:r>
          </w:p>
        </w:tc>
        <w:tc>
          <w:tcPr>
            <w:tcW w:type="dxa" w:w="544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CASE-FICTIONAL</w:t>
            </w:r>
          </w:p>
        </w:tc>
      </w:tr>
      <w:tr>
        <w:trPr>
          <w:cantSplit/>
        </w:trPr>
        <w:tc>
          <w:tcPr>
            <w:tcW w:type="dxa" w:w="3914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Organization</w:t>
            </w:r>
          </w:p>
        </w:tc>
        <w:tc>
          <w:tcPr>
            <w:tcW w:type="dxa" w:w="5446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organization</w:t>
            </w:r>
          </w:p>
        </w:tc>
      </w:tr>
      <w:tr>
        <w:trPr>
          <w:cantSplit/>
        </w:trPr>
        <w:tc>
          <w:tcPr>
            <w:tcW w:type="dxa" w:w="391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Subject</w:t>
            </w:r>
          </w:p>
        </w:tc>
        <w:tc>
          <w:tcPr>
            <w:tcW w:type="dxa" w:w="544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bounded review</w:t>
            </w:r>
          </w:p>
        </w:tc>
      </w:tr>
      <w:tr>
        <w:trPr>
          <w:cantSplit/>
        </w:trPr>
        <w:tc>
          <w:tcPr>
            <w:tcW w:type="dxa" w:w="3914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Responsible reviewer</w:t>
            </w:r>
          </w:p>
        </w:tc>
        <w:tc>
          <w:tcPr>
            <w:tcW w:type="dxa" w:w="5446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reviewer</w:t>
            </w:r>
          </w:p>
        </w:tc>
      </w:tr>
      <w:tr>
        <w:trPr>
          <w:cantSplit/>
        </w:trPr>
        <w:tc>
          <w:tcPr>
            <w:tcW w:type="dxa" w:w="391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Preparation date</w:t>
            </w:r>
          </w:p>
        </w:tc>
        <w:tc>
          <w:tcPr>
            <w:tcW w:type="dxa" w:w="544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9, 2026</w:t>
            </w:r>
          </w:p>
        </w:tc>
      </w:tr>
      <w:tr>
        <w:trPr>
          <w:cantSplit/>
        </w:trPr>
        <w:tc>
          <w:tcPr>
            <w:tcW w:type="dxa" w:w="3914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Scope</w:t>
            </w:r>
          </w:p>
        </w:tc>
        <w:tc>
          <w:tcPr>
            <w:tcW w:type="dxa" w:w="5446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customer-approved workflow. Replace every example before real use.</w:t>
            </w:r>
          </w:p>
        </w:tc>
      </w:tr>
      <w:tr>
        <w:trPr>
          <w:cantSplit/>
        </w:trPr>
        <w:tc>
          <w:tcPr>
            <w:tcW w:type="dxa" w:w="391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Customer policy</w:t>
            </w:r>
          </w:p>
        </w:tc>
        <w:tc>
          <w:tcPr>
            <w:tcW w:type="dxa" w:w="544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POLICY-FICTIONAL</w:t>
            </w:r>
          </w:p>
        </w:tc>
      </w:tr>
      <w:tr>
        <w:trPr>
          <w:cantSplit/>
        </w:trPr>
        <w:tc>
          <w:tcPr>
            <w:tcW w:type="dxa" w:w="3914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Customer policy version</w:t>
            </w:r>
          </w:p>
        </w:tc>
        <w:tc>
          <w:tcPr>
            <w:tcW w:type="dxa" w:w="5446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fictional-v1</w:t>
            </w:r>
          </w:p>
        </w:tc>
      </w:tr>
      <w:tr>
        <w:trPr>
          <w:cantSplit/>
        </w:trPr>
        <w:tc>
          <w:tcPr>
            <w:tcW w:type="dxa" w:w="391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Declared approver</w:t>
            </w:r>
          </w:p>
        </w:tc>
        <w:tc>
          <w:tcPr>
            <w:tcW w:type="dxa" w:w="544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policy owner</w:t>
            </w:r>
          </w:p>
        </w:tc>
      </w:tr>
      <w:tr>
        <w:trPr>
          <w:cantSplit/>
        </w:trPr>
        <w:tc>
          <w:tcPr>
            <w:tcW w:type="dxa" w:w="3914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Declared approval date</w:t>
            </w:r>
          </w:p>
        </w:tc>
        <w:tc>
          <w:tcPr>
            <w:tcW w:type="dxa" w:w="5446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2, 2026</w:t>
            </w:r>
          </w:p>
        </w:tc>
      </w:tr>
      <w:tr>
        <w:trPr>
          <w:cantSplit/>
        </w:trPr>
        <w:tc>
          <w:tcPr>
            <w:tcW w:type="dxa" w:w="391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Decision boundary</w:t>
            </w:r>
          </w:p>
        </w:tc>
        <w:tc>
          <w:tcPr>
            <w:tcW w:type="dxa" w:w="544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No substantive decision or external filing made.</w:t>
            </w:r>
          </w:p>
        </w:tc>
      </w:tr>
    </w:tbl>
    <w:p>
      <w:pPr>
        <w:pStyle w:val="Heading1"/>
      </w:pPr>
      <w:r>
        <w:t xml:space="preserve">Named method and supported scope</w:t>
      </w:r>
    </w:p>
    <w:p>
      <w:r>
        <w:t xml:space="preserve">Evaluate All/Any condition sets with three-valued logic. Missing, unverified or conflicting attributes remain Unknown. Join exact process names and retain every condition and candidate.</w:t>
      </w:r>
    </w:p>
    <w:p>
      <w:r>
        <w:t xml:space="preserve">A literal rule match suggests customer-defined relevance only. No automatic legal applicability or discovery. Complete comparisons must fit the result bound; no record truncation.</w:t>
      </w:r>
    </w:p>
    <w:p>
      <w:r>
        <w:t xml:space="preserve">All original evidence, approved rules, recipient events and factual verification remain customer declarations. File hashes establish retained byte identity only.</w:t>
      </w:r>
    </w:p>
    <w:p>
      <w:r>
        <w:t xml:space="preserve">The tool does not decide credibility, legal applicability, publication, competence, participation, signature, delivery, regulator acceptance or submission.</w:t>
      </w:r>
    </w:p>
    <w:p>
      <w:r>
        <w:t xml:space="preserve">Prepared results preserve complete accepted records. Recovery never creates payment, source authentication, fresh consent or approval authority.</w:t>
      </w:r>
    </w:p>
    <w:p>
      <w:pPr>
        <w:pStyle w:val="Heading1"/>
      </w:pPr>
      <w:r>
        <w:t xml:space="preserve">Complete result counts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7020"/>
        <w:gridCol w:w="2340"/>
      </w:tblGrid>
      <w:tr>
        <w:trPr>
          <w:cantSplit/>
          <w:tblHeader/>
        </w:trPr>
        <w:tc>
          <w:tcPr>
            <w:tcW w:type="dxa" w:w="702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Measure</w:t>
            </w:r>
          </w:p>
        </w:tc>
        <w:tc>
          <w:tcPr>
            <w:tcW w:type="dxa" w:w="234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702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Profile-rule comparisons</w:t>
            </w:r>
          </w:p>
        </w:tc>
        <w:tc>
          <w:tcPr>
            <w:tcW w:type="dxa" w:w="234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1</w:t>
            </w:r>
          </w:p>
        </w:tc>
      </w:tr>
    </w:tbl>
    <w:p>
      <w:pPr>
        <w:pStyle w:val="Heading1"/>
      </w:pPr>
      <w:r>
        <w:t xml:space="preserve">1. Original evidence source (S1)</w:t>
      </w:r>
    </w:p>
    <w:p>
      <w:r>
        <w:t xml:space="preserve">State. Customer verification linked</w:t>
      </w:r>
    </w:p>
    <w:p>
      <w:r>
        <w:t xml:space="preserve">Customer-declared source identity and verification. Original contents are not extracted or independently authenticated.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4680"/>
        <w:gridCol w:w="4680"/>
      </w:tblGrid>
      <w:tr>
        <w:trPr>
          <w:cantSplit/>
          <w:tblHeader/>
        </w:trPr>
        <w:tc>
          <w:tcPr>
            <w:tcW w:type="dxa" w:w="46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46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Original file ID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F1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Locator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section one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Source date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1, 2026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Custodian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customer custodian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Description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source declaration. Does not establish real source evidence.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Customer verification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Customer verified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Verified by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customer reviewer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Verified on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2, 2026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Exact evidence source references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S1</w:t>
            </w:r>
          </w:p>
        </w:tc>
      </w:tr>
    </w:tbl>
    <w:p>
      <w:pPr>
        <w:pStyle w:val="Heading1"/>
      </w:pPr>
      <w:r>
        <w:t xml:space="preserve">2. Original byte manifest (F1)</w:t>
      </w:r>
    </w:p>
    <w:p>
      <w:r>
        <w:t xml:space="preserve">State. Indexed</w:t>
      </w:r>
    </w:p>
    <w:p>
      <w:r>
        <w:t xml:space="preserve">Complete attachment export requires these exact original bytes.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4680"/>
        <w:gridCol w:w="4680"/>
      </w:tblGrid>
      <w:tr>
        <w:trPr>
          <w:cantSplit/>
          <w:tblHeader/>
        </w:trPr>
        <w:tc>
          <w:tcPr>
            <w:tcW w:type="dxa" w:w="46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46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Filename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FICTIONAL-regulatory-training-evidence.txt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Media type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text/plain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Bytes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206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SHA-256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5caf71f8ad946bcc893f678cedea5f9390a5d12eb1f3e5f2e2c5b0789f93d574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Exact evidence source references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S1</w:t>
            </w:r>
          </w:p>
        </w:tc>
      </w:tr>
    </w:tbl>
    <w:p>
      <w:pPr>
        <w:pStyle w:val="Heading1"/>
      </w:pPr>
      <w:r>
        <w:t xml:space="preserve">3. Frozen customer policy (POLICY-FICTIONAL)</w:t>
      </w:r>
    </w:p>
    <w:p>
      <w:r>
        <w:t xml:space="preserve">State. Documented</w:t>
      </w:r>
    </w:p>
    <w:p>
      <w:r>
        <w:t xml:space="preserve">Exact customer-approved policy retained. Applicability and authority remain customer declarations.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5546"/>
        <w:gridCol w:w="3814"/>
      </w:tblGrid>
      <w:tr>
        <w:trPr>
          <w:cantSplit/>
          <w:tblHeader/>
        </w:trPr>
        <w:tc>
          <w:tcPr>
            <w:tcW w:type="dxa" w:w="5546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3814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554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Version</w:t>
            </w:r>
          </w:p>
        </w:tc>
        <w:tc>
          <w:tcPr>
            <w:tcW w:type="dxa" w:w="381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fictional-v1</w:t>
            </w:r>
          </w:p>
        </w:tc>
      </w:tr>
      <w:tr>
        <w:trPr>
          <w:cantSplit/>
        </w:trPr>
        <w:tc>
          <w:tcPr>
            <w:tcW w:type="dxa" w:w="5546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Approver</w:t>
            </w:r>
          </w:p>
        </w:tc>
        <w:tc>
          <w:tcPr>
            <w:tcW w:type="dxa" w:w="3814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policy owner</w:t>
            </w:r>
          </w:p>
        </w:tc>
      </w:tr>
      <w:tr>
        <w:trPr>
          <w:cantSplit/>
        </w:trPr>
        <w:tc>
          <w:tcPr>
            <w:tcW w:type="dxa" w:w="554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Approval date</w:t>
            </w:r>
          </w:p>
        </w:tc>
        <w:tc>
          <w:tcPr>
            <w:tcW w:type="dxa" w:w="381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2, 2026</w:t>
            </w:r>
          </w:p>
        </w:tc>
      </w:tr>
      <w:tr>
        <w:trPr>
          <w:cantSplit/>
        </w:trPr>
        <w:tc>
          <w:tcPr>
            <w:tcW w:type="dxa" w:w="5546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Exact evidence source references</w:t>
            </w:r>
          </w:p>
        </w:tc>
        <w:tc>
          <w:tcPr>
            <w:tcW w:type="dxa" w:w="3814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S1</w:t>
            </w:r>
          </w:p>
        </w:tc>
      </w:tr>
    </w:tbl>
    <w:p>
      <w:pPr>
        <w:pStyle w:val="Heading1"/>
      </w:pPr>
      <w:r>
        <w:t xml:space="preserve">4. Confirmed-profile relevance comparison (PROFILE1/RULE1)</w:t>
      </w:r>
    </w:p>
    <w:p>
      <w:r>
        <w:t xml:space="preserve">State. Matched</w:t>
      </w:r>
    </w:p>
    <w:p>
      <w:r>
        <w:t xml:space="preserve">Literal customer-approved conditions suggest process relevance. Unknown facts remain unknown; no legal applicability follows.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4680"/>
        <w:gridCol w:w="4680"/>
      </w:tblGrid>
      <w:tr>
        <w:trPr>
          <w:cantSplit/>
          <w:tblHeader/>
        </w:trPr>
        <w:tc>
          <w:tcPr>
            <w:tcW w:type="dxa" w:w="46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46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Profile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{"reference":"PROFILE1","organization":"Fictional organization","confirmedBy":"Fictional profile owner","confirmedOn":"2026-10-02","sourceIds":["S1"]}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Rule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{"reference":"RULE1","development":"Fictional approved development","processName":"Fictional customer review","logic":"All","sourceIds":["S1"]}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Condition results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[{"condition":{"reference":"CONDITION1","ruleReference":"RULE1","field":"sector","operator":"Equals","expected":"Fictional selected sector","sourceIds":["S1"]},"attributes":[{"reference":"ATTR1","profileReference":"PROFILE1","field":"sector","value":"Fictional selected sector","verification":"Customer verified","sourceIds":["S1"]}],"result":"True"}]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Exact-name process candidates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[{"reference":"PROCESS1","profileReference":"PROFILE1","name":"Fictional customer review","owner":"Fictional process owner","sourceIds":["S1"]}]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Process coverage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Candidates supplied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Exact evidence source references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S1, S1</w:t>
            </w:r>
          </w:p>
        </w:tc>
      </w:tr>
    </w:tbl>
    <w:p>
      <w:pPr>
        <w:pStyle w:val="Heading1"/>
      </w:pPr>
      <w:r>
        <w:t xml:space="preserve">Complete accepted task inputs</w:t>
      </w:r>
    </w:p>
    <w:p>
      <w:r>
        <w:t xml:space="preserve">The following exact accepted fields preserve every supplied task record, including orphan records and contradictions. They are customer annotations, not independently extracted or authenticated evidence.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4680"/>
        <w:gridCol w:w="4680"/>
      </w:tblGrid>
      <w:tr>
        <w:trPr>
          <w:cantSplit/>
          <w:tblHeader/>
        </w:trPr>
        <w:tc>
          <w:tcPr>
            <w:tcW w:type="dxa" w:w="46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46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profiles 1. reference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PROFILE1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profiles 1. organization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organization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profiles 1. confirmedBy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profile owner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profiles 1. confirmedOn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2, 2026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profiles 1. sourceIds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S1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attributes 1. reference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ATTR1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attributes 1. profileReference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PROFILE1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attributes 1. field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sector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attributes 1. value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selected sector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attributes 1. verification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Customer verified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attributes 1. sourceIds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S1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processes 1. reference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PROCESS1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processes 1. profileReference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PROFILE1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processes 1. name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customer review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processes 1. owner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process owner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processes 1. sourceIds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S1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rules 1. reference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RULE1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rules 1. development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approved development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rules 1. processName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customer review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rules 1. logic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All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rules 1. sourceIds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S1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conditions 1. reference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CONDITION1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conditions 1. ruleReference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RULE1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conditions 1. field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sector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conditions 1. operator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Equals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conditions 1. expected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selected sector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conditions 1. sourceIds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S1</w:t>
            </w:r>
          </w:p>
        </w:tc>
      </w:tr>
    </w:tbl>
    <w:p>
      <w:pPr>
        <w:pStyle w:val="Heading1"/>
      </w:pPr>
      <w:r>
        <w:t xml:space="preserve">Recovery and original attachment boundary</w:t>
      </w:r>
    </w:p>
    <w:p>
      <w:r>
        <w:t xml:space="preserve">The complete local ZIP includes every original file listed in the retained manifest. A structured JSON or cloud record alone preserves the descriptor and annotation, not the original file bytes. Attach matching bytes before producing a complete original-attachment pack.</w:t>
      </w:r>
    </w:p>
    <w:p>
      <w:r>
        <w:t xml:space="preserve">Customer recovery restores neither source authentication, approval authority nor paid export access. Payment ownership is checked before each commercial export.</w:t>
      </w:r>
    </w:p>
    <w:p>
      <w:pPr>
        <w:pStyle w:val="Heading1"/>
        <w:pageBreakBefore/>
      </w:pPr>
      <w:r>
        <w:t xml:space="preserve">Official sources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3025"/>
        <w:gridCol w:w="3025"/>
        <w:gridCol w:w="1418"/>
        <w:gridCol w:w="1892"/>
      </w:tblGrid>
      <w:tr>
        <w:trPr>
          <w:cantSplit/>
          <w:tblHeader/>
        </w:trPr>
        <w:tc>
          <w:tcPr>
            <w:tcW w:type="dxa" w:w="3025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Source</w:t>
            </w:r>
          </w:p>
        </w:tc>
        <w:tc>
          <w:tcPr>
            <w:tcW w:type="dxa" w:w="3025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Provision</w:t>
            </w:r>
          </w:p>
        </w:tc>
        <w:tc>
          <w:tcPr>
            <w:tcW w:type="dxa" w:w="1418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Reviewed</w:t>
            </w:r>
          </w:p>
        </w:tc>
        <w:tc>
          <w:tcPr>
            <w:tcW w:type="dxa" w:w="1892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Link</w:t>
            </w:r>
          </w:p>
        </w:tc>
      </w:tr>
      <w:tr>
        <w:trPr>
          <w:cantSplit/>
        </w:trPr>
        <w:tc>
          <w:tcPr>
            <w:tcW w:type="dxa" w:w="3025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Government Accountability Office: Standards for Internal Control in the Federal Government</w:t>
            </w:r>
          </w:p>
        </w:tc>
        <w:tc>
          <w:tcPr>
            <w:tcW w:type="dxa" w:w="3025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The 2025 Green Book discusses documented risk assessment, change and internal controls. Federal requirements are not imposed on private customers. Exact customer rules and confirmed scope define this voluntary workpaper.</w:t>
            </w:r>
          </w:p>
        </w:tc>
        <w:tc>
          <w:tcPr>
            <w:tcW w:type="dxa" w:w="1418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9, 2026</w:t>
            </w:r>
          </w:p>
        </w:tc>
        <w:tc>
          <w:tcPr>
            <w:tcW w:type="dxa" w:w="1892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hyperlink w:history="1" r:id="rId9ksd3vycjil1zxmejr3bd">
              <w:r>
                <w:rPr>
                  <w:rFonts w:ascii="Times New Roman" w:cs="Times New Roman" w:eastAsia="Times New Roman" w:hAnsi="Times New Roman"/>
                  <w:b w:val="false"/>
                  <w:bCs w:val="false"/>
                  <w:color w:val="1F1F1F"/>
                  <w:sz w:val="20"/>
                  <w:szCs w:val="20"/>
                  <w:u w:val="single"/>
                </w:rPr>
                <w:t xml:space="preserve">Open official source</w:t>
              </w:r>
            </w:hyperlink>
          </w:p>
        </w:tc>
      </w:tr>
    </w:tbl>
    <w:sectPr>
      <w:headerReference w:type="default" r:id="rId7"/>
      <w:footerReference w:type="default" r:id="rId8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Times New Roman" w:cs="Times New Roman" w:eastAsia="Times New Roman" w:hAnsi="Times New Roman"/>
        <w:color w:val="595959"/>
        <w:sz w:val="17"/>
        <w:szCs w:val="17"/>
      </w:rPr>
      <w:t xml:space="preserve">Page </w:t>
    </w:r>
    <w:r>
      <w:rPr>
        <w:rFonts w:ascii="Times New Roman" w:cs="Times New Roman" w:eastAsia="Times New Roman" w:hAnsi="Times New Roman"/>
        <w:color w:val="595959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9D9D9" w:sz="2"/>
      </w:pBdr>
      <w:spacing w:after="80"/>
    </w:pPr>
    <w:r>
      <w:rPr>
        <w:rFonts w:ascii="Times New Roman" w:cs="Times New Roman" w:eastAsia="Times New Roman" w:hAnsi="Times New Roman"/>
        <w:color w:val="595959"/>
        <w:sz w:val="17"/>
        <w:szCs w:val="17"/>
      </w:rPr>
      <w:t xml:space="preserve">Business Compliance Tools</w:t>
    </w:r>
    <w:r>
      <w:rPr>
        <w:rFonts w:ascii="Times New Roman" w:cs="Times New Roman" w:eastAsia="Times New Roman" w:hAnsi="Times New Roman"/>
        <w:color w:val="595959"/>
        <w:sz w:val="17"/>
        <w:szCs w:val="17"/>
      </w:rPr>
      <w:t xml:space="preserve">  |  CASE-FICTIONAL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1F1F1F"/>
        <w:sz w:val="22"/>
        <w:szCs w:val="22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spacing w:after="160" w:before="320"/>
    </w:pPr>
    <w:rPr>
      <w:rFonts w:ascii="Times New Roman" w:cs="Times New Roman" w:eastAsia="Times New Roman" w:hAnsi="Times New Roman"/>
      <w:b/>
      <w:bCs/>
      <w:color w:val="1F1F1F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20" w:before="240"/>
    </w:pPr>
    <w:rPr>
      <w:rFonts w:ascii="Times New Roman" w:cs="Times New Roman" w:eastAsia="Times New Roman" w:hAnsi="Times New Roman"/>
      <w:b/>
      <w:bCs/>
      <w:color w:val="1F1F1F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ksd3vycjil1zxmejr3bd" Type="http://schemas.openxmlformats.org/officeDocument/2006/relationships/hyperlink" Target="https://www.gao.gov/greenbook" TargetMode="Externa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Customer relevance matcher</dc:title>
  <dc:subject>FICTIONAL evidence sample. Requires tailoring.</dc:subject>
  <dc:creator>Business Compliance Tools</dc:creator>
  <cp:keywords>compliance, evidence, us</cp:keywords>
  <dc:description>Evidence workpaper</dc:description>
  <cp:lastModifiedBy>Business Compliance Tools</cp:lastModifiedBy>
  <cp:revision>1</cp:revision>
  <dcterms:created xsi:type="dcterms:W3CDTF">2026-10-09T12:00:00.000Z</dcterms:created>
  <dcterms:modified xsi:type="dcterms:W3CDTF">2026-10-09T12:00:00.000Z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