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Human-rights due diligence workpaper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FICTIONAL-CASE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2026-10-09.sustainability-sector.1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Prepare source-linked actual/potential impacts, severity dimensions, affected-group consultation, customer priority ranking and corrective actions.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named workflow preparation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records only. Requires tailoring and current qualified scope review.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POLICY1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Apply the exact selected max-severity times likelihood instrument using integer arithmetic. Join the exact impact, affected group, source-supported consultation, latest unique customer review and approved action. Preserve severity dimensions, uncertainty and qualified remedy decisions separately.</w:t>
      </w:r>
    </w:p>
    <w:p>
      <w:r>
        <w:t xml:space="preserve">Numeric ranking is a customer method. It neither establishes a UNGP legal classification nor replaces qualified prioritization of severe impacts, liability or remedy decisions. Up to 100 records per table within 100,000 UTF-8 bytes for the complete input, 300,000 bytes for the complete result and 500,000 bytes for the workspace. Up to 20 original files, 10,000,000 bytes per original and 25,000,000</w:t>
      </w:r>
    </w:p>
    <w:p>
      <w:r>
        <w:t xml:space="preserve"> combined original bytes. Aggregate capacity rejects rather than truncates. Originals stay in this browser unless the customer explicitly authorizes paid cloud saving.</w:t>
      </w:r>
    </w:p>
    <w:p>
      <w:r>
        <w:t xml:space="preserve">Customer originals, observations, approvals and applicability remain source-attributed declarations. Hashes establish retained byte identity only.</w:t>
      </w:r>
    </w:p>
    <w:p>
      <w:r>
        <w:t xml:space="preserve">No forced-labor or deforestation clearance, identity or tax decision, clinical determination, certification, regulator filing, recipient message or external submission occurs.</w:t>
      </w:r>
    </w:p>
    <w:p>
      <w:r>
        <w:t xml:space="preserve">Complete accepted records and exact original bytes remain recoverable. Restore confers no fresh payment, consent, source authentication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ranked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threshold priority impacts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Complete preparation draft</w:t>
      </w:r>
    </w:p>
    <w:p>
      <w:r>
        <w:t xml:space="preserve">Draft only. Unresolved positions remain explicit. No communication is sent.</w:t>
      </w:r>
    </w:p>
    <w:p>
      <w:r>
        <w:t xml:space="preserve">1. Fictional recruitment process. Fictional selected labor right. Affected group Fictional workers. Potential. Customer score 20/25. FICTIONAL customer scores. Qualified human priority and remedy remain separate.. Review gaps None mechanically identified.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Byte hashes establish retained identity, not factual authentication.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original case source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customer-approved case records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 exact retained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fictional-original-case.json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application/json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3358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59d26078d5950926b36a5d6808e26760486d3db65dbba16cf89949f16c5b0812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(POLICY1)</w:t>
      </w:r>
    </w:p>
    <w:p>
      <w:r>
        <w:t xml:space="preserve">State. Documented</w:t>
      </w:r>
    </w:p>
    <w:p>
      <w:r>
        <w:t xml:space="preserve">Exact approved customer scope. Legal applicability and substantive conclusions remain human decisions.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92"/>
        <w:gridCol w:w="4368"/>
      </w:tblGrid>
      <w:tr>
        <w:trPr>
          <w:cantSplit/>
          <w:tblHeader/>
        </w:trPr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POLICY1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Approved impact prioritization (IMPACT1)</w:t>
      </w:r>
    </w:p>
    <w:p>
      <w:r>
        <w:t xml:space="preserve">State. Customer priority threshold reached</w:t>
      </w:r>
    </w:p>
    <w:p>
      <w:r>
        <w:t xml:space="preserve">Deterministic customer method. Severity is max(scale, scope, irremediability), multiplied by likelihood. Numeric ranking does not decide rights, liability or remedy.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recruitment process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right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labor right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affectedGroup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workers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actualOrPotential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Potential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scopeScore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irremediability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likelihood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scores. Qualified human priority and remedy remain separate.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rank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severity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priorityScore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scoringInstrument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max-severity times likelihood instrument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[{"reference":"CONSULT1","sourceIds":["S1"],"itemReference":"IMPACT1","group":"Fictional workers","on":"2026-10-01","reportedInput":"FICTIONAL stakeholder concern. No authenticated participation claimed.","participationEvidence":"FICTIONAL customer meeting note reference"}]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Corrective action and closure (ACTION-IMPACT1)</w:t>
      </w:r>
    </w:p>
    <w:p>
      <w:r>
        <w:t xml:space="preserve">State. Open</w:t>
      </w:r>
    </w:p>
    <w:p>
      <w:r>
        <w:t xml:space="preserve">Exact customer action and closure references linked. Delivery and effective remediation are not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ACTION-IMPACT1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20,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corrective action draft. No message or effective remediation asserted.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closureEvidenceIds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Customer annotations remain attributed. Supported workbook and W-9 fields were extracted locally from the exact pinned original. Extraction establishes field identity, not factual authentication.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priorityThreshold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scoringInstrument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max-severity times likelihood instrument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activity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recruitment process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right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labor right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affectedGroup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workers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actualOrPotential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Potential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scale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scopeScore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irremediability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likelihood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scores. Qualified human priority and remedy remain separate.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 1. itemReference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 1. group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workers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 1. reportedInput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stakeholder concern. No authenticated participation claimed.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consultations 1. participationEvidence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meeting note reference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ACTION-IMPACT1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itemReference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20,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status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corrective action draft. No message or effective remediation asserted.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closedOn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closureEvidenceIds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REVIEW-IMPACT1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itemReference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position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Accepted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source-linked review assertion. Requires customer tailoring.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Nations Office of the High Commissioner for Human Rights: Guiding Principles on Business and Human Rights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UN Guiding Principles describe policy commitment, human-rights due diligence and remediation. Principle 24 addresses severe impacts when prioritization is necessary. This voluntary workpaper preserves customer severity, likelihood, affected-group input and actions. Its selected numeric instrument is a customer method, not a UN legal classification or substitute for qualified priority and remedy decisions.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owvsfcasbrxeo_hxtrn-4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FICTIONAL-CASE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owvsfcasbrxeo_hxtrn-4" Type="http://schemas.openxmlformats.org/officeDocument/2006/relationships/hyperlink" Target="https://www.ohchr.org/sites/default/files/GuidingPrinciplesBusinessHR_EN.pdf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Human-rights due diligence workpaper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