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OSHA incident-record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customer incident/log records with source-linked classification decisions and reconciled calendar days away or restricted.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exact case, year and interval references. Count days after the incident, merge overlapping intervals, prevent duplicate away/restriction days and apply the combined 180-day cap. Preserve customer recordability, privacy-case decisions, case-number conflicts and complete incident notes for qualified review.</w:t>
      </w:r>
    </w:p>
    <w:p>
      <w:r>
        <w:t xml:space="preserve">No diagnosis, work-relatedness or recordability finding, complete official Form 301, OSHA submission or authenticated preparer signature. Up to 100 records per table within 100,000 UTF-8 bytes for the complete input, 300,000 bytes for the complete result and 500,000 bytes for the workspace. Up to 20 original files, 10,000,000 bytes per original and 25,000,000 combined original bytes. Aggregate cap</w:t>
      </w:r>
    </w:p>
    <w:p>
      <w:r>
        <w:t xml:space="preserve">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recordable cases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days away</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restricted days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bl>
    <w:p>
      <w:pPr>
        <w:pStyle w:val="Heading1"/>
      </w:pPr>
      <w:r>
        <w:t xml:space="preserve">Complete preparation draft</w:t>
      </w:r>
    </w:p>
    <w:p>
      <w:r>
        <w:t xml:space="preserve">Draft only. Unresolved positions remain explicit. No communication is sent.</w:t>
      </w:r>
    </w:p>
    <w:p>
      <w:r>
        <w:t xml:space="preserve">OSHA incident and log preparation for Fictional US establishment, 2026. Customer recordability, classification and privacy decisions remain unresolved unless expressly reviewed. No filing or signature occurs.</w:t>
      </w:r>
    </w:p>
    <w:p>
      <w:r>
        <w:t xml:space="preserve">Case FICTIONAL-001. Employee Fictional employee. Job Fictional employee role. Incident 2026-09-01. Location Fictional worksite. FICTIONAL source-reported incident. Customer classification Days away. Days away 4. Restricted 5. Injury type Fictional selected injury category. Review gaps None mechanically identified.</w:t>
      </w:r>
    </w:p>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2962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6f68282593458378a62469dfac22a29e2ae459e3d9a950920ee510f66db732a7</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OSHA calendar-day reconciliation (CASE1)</w:t>
      </w:r>
    </w:p>
    <w:p>
      <w:r>
        <w:t xml:space="preserve">State. Prepared customer incident record</w:t>
      </w:r>
    </w:p>
    <w:p>
      <w:r>
        <w:t xml:space="preserve">Calendar days begin after the incident date. Overlapping intervals are deduplicated. Away days take precedence over restriction. Combined reported days cap at 180. Qualified classifications remain customer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caseNumber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FICTIONAL-001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employee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jobTitle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employee role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worksite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source-reported incident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workRelated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newCase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recordability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customerClassification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Days away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privacyCase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injuryType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injury category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preparer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uncappedDaysAway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uncappedRestrictedDays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reportedDaysAway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reportedRestrictedDays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combinedReportedDays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[{"reference":"DAYS1","sourceIds":["S1"],"caseReference":"CASE1","startOn":"2026-09-01","endOn":"2026-09-05","kind":"Days away"},{"reference":"DAYS2","sourceIds":["S1"],"caseReference":"CASE1","startOn":"2026-09-04","endOn":"2026-09-10","kind":"Job transfer or restriction"}]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establishment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establishment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calendarYear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caseNumber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FICTIONAL-001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employee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employee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jobTitle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employee role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incidentOn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location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worksite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source-reported incident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workRelated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newCase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recordability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customerClassification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Days away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privacyCase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injuryType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injury category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completedBy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preparer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cases 1. completedOn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1. caseReference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1. startOn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1. endOn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5,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1. 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Days away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2.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DAYS2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2.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2. caseReference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2. startOn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4,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2. endOn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dayRecords 2. 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Job transfer or restriction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itemReference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position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decisionReviews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Occupational Safety and Health Administration: 29 CFR 1904.7. General recording criteria</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1904.7 describes recordability and calendar-day counts beginning after the incident day, including the 180-day combined cap. This method counts source-linked supplied intervals after customer recordability, classification and privacy decisions. It does not diagnose an injury, decide work-relatedness or recordability, create a complete official Form 301 or file OSHA records.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4hondsxnjmlsdnzv-lz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4hondsxnjmlsdnzv-lzk" Type="http://schemas.openxmlformats.org/officeDocument/2006/relationships/hyperlink" Target="https://www.osha.gov/laws-regs/regulations/standardnumber/1904/1904.7"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OSHA incident-record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