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Unclaimed-property data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exact customer-confirmed state/property reporting rows with source-linked balances, dormancy anniversaries and bounded notice windows.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Apply only the approved exact property obligation. Calculate clamped calendar-year dormancy dates and minimum/maximum notice windows, reconcile exact USD payments and uniquely linked same-amount reversals, preserve disputed/returned properties and include reporting CSV rows only when exact owner, current source and review gaps are resolved.</w:t>
      </w:r>
    </w:p>
    <w:p>
      <w:r>
        <w:t xml:space="preserve">No automatic state-law discovery, owner identity or title decision, escheat conclusion, universal report format or state submission. Unresolved properties remain in the full workpaper. Up to 100 records per table within 100,000 UTF-8 bytes for the complete input, 300,000 bytes for the complete result and 500,000 bytes for the workspace. Up to 20 original files, 10,000,000 bytes per original and 25</w:t>
      </w:r>
    </w:p>
    <w:p>
      <w:r>
        <w:t xml:space="preserve">,000,000 combined original bytes. Aggregate capacity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reviewed</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Customer-confirmed reporting rows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Excluded unresolved properties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net USD amount</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90</w:t>
            </w:r>
          </w:p>
        </w:tc>
      </w:tr>
    </w:tbl>
    <w:p>
      <w:pPr>
        <w:pStyle w:val="Heading1"/>
      </w:pPr>
      <w:r>
        <w:t xml:space="preserve">Complete schema-bound reporting dataset</w:t>
      </w:r>
    </w:p>
    <w:p>
      <w:r>
        <w:t xml:space="preserve">Exact prepared filename. customer-confirmed-unclaimed-property.csv</w:t>
      </w:r>
    </w:p>
    <w:p>
      <w:r>
        <w:t xml:space="preserve">Working CSV. No official portal acceptance or submission is established.</w:t>
      </w:r>
    </w:p>
    <w:p>
      <w:r>
        <w:t xml:space="preserve">"State","Period","PropertyCode","OwnerReference","OwnerName","Address","AmountUSD","LastActivity","OriginalReference"
"Customer-selected US state","fictional-2026","FICTIONAL-CODE","OWNER1","Fictional owner","Fictional address","90","2023-02-28","PROPERTY1"</w:t>
      </w:r>
    </w:p>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3557</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1c91c0575d798df27b04dae05418f89e29debf2203abb6954b1007356b829a86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property balance and customer dormancy (PROPERTY1)</w:t>
      </w:r>
    </w:p>
    <w:p>
      <w:r>
        <w:t xml:space="preserve">State. Customer-approved reporting row</w:t>
      </w:r>
    </w:p>
    <w:p>
      <w:r>
        <w:t xml:space="preserve">Exact net USD amount, clamped calendar-year anniversary and customer notice interval checked. No state-law discovery, ownership decision, escheat determination or submission.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PROPERTY1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obligationReference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OBLIGATION1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owner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lastKnownAddress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address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100.25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lastActivityOn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February 28, 2023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netAmount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dormantOn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February 28,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noticeWindowStart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1, 2025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noticeWindowEnd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May 5,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mature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true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obligation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{"reference":"OBLIGATION1","sourceIds":["S1"],"propertyType":"Fictional customer-selected credit","code":"FICTIONAL-CODE","dormancyYears":3,"cutoffOn":"2026-06-30","noticeMinimumDaysBefore":180,"noticeMaximumDaysBefore":365,"minimumAmount":"0","selection":"Applicable","authority":"FICTIONAL exact qualified customer state/property determination. No statutory discovery.","approvedBy":"Fictional qual</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[{"reference":"PAYMENT1","sourceIds":["S1"],"propertyReference":"PROPERTY1","on":"2026-05-01","amount":"10.25","unit":"USD","reportedOutcome":"Customer reported paid","reversesReference":""}]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[{"reference":"NOTICE1","sourceIds":["S1"],"propertyReference":"PROPERTY1","on":"2026-04-01","reportedEvent":"Customer reported sent","receiptReference":"FICTIONAL-CUSTOMER-RECEIPT"}]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reportingState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state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reportingPeriod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reportDueOn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OBLIGATION1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propertyType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credit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code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FICTIONAL-CODE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dormancyYears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cutoffOn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June 30,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noticeMinimumDaysBefore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noticeMaximumDaysBefore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minimumAmount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selection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Applicable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authority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qualified customer state/property determination. No statutory discovery.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confirmedObligations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PROPERTY1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obligationReference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OBLIGATION1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ownerReference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ownerName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owner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lastKnownAddress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address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unit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amount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100.25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lastActivityOn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February 28, 2023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properties 1. reportedStatus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propertyReference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PROPERTY1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April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reportedEvent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reported sent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notices 1. receiptReference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FICTIONAL-CUSTOMER-RECEIPT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propertyReference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PROPERTY1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May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amount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unit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reportedOutcome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reported paid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payments 1. reversesReference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REVIEW-PROPERTY1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PROPERTY1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State Controller: How to Report Unclaimed Property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California's holder guidance describes reporting, due diligence and a six-to-twelve-month notice window in its applicable scope. This tool preserves exact customer-confirmed state/property obligations, minimum/maximum notice intervals, dormancy anniversaries and balances. California guidance is not applied universally. No law discovery, ownership determination, escheat conclusion or state submission occurs.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d6fpkye4_7ceu8jramv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d6fpkye4_7ceu8jramvm" Type="http://schemas.openxmlformats.org/officeDocument/2006/relationships/hyperlink" Target="https://sco.ca.gov/upd_how_to_report.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Unclaimed-property data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