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Fairness assessment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Fairness assessment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12-fairness-assessment-workpaper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descriptive group metrics, limitations and source-linked fairness review points.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Count complete supplied binary outcomes by the exact customer-declared group. Calculate selection rate, true positive rate and false positive rate. Compare absolute percentage-point gaps with the explicit reference group and approved thresholds. Show denominators, small groups and undefined metrics. Missing or invalid records prevent complete group comparisons. No protected attribute, causation, statistical significance or legal standard is inferred.</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520</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13ad29035de0a76f7a2eede0647e464970c57e8809d5e2091c7c23547081b813</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282</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ffae90ea5540fcdd936161648e2ec0afab309ba731a42689de7c5e11a3bf3c3a</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12 source-linked findings. 0 unresolved or undefined findings.</w:t>
      </w:r>
    </w:p>
    <w:p>
      <w:pPr>
        <w:pStyle w:val="ListParagraph"/>
        <w:numPr>
          <w:ilvl w:val="0"/>
          <w:numId w:val="1"/>
        </w:numPr>
      </w:pPr>
      <w:r>
        <w:t xml:space="preserve">Count complete supplied binary outcomes by the exact customer-declared group. Calculate selection rate, true positive rate and false positive rate. Compare absolute percentage-point gaps with the explicit reference group and approved thresholds. Show denominators, small groups and undefined metrics. Missing or invalid records prevent complete group comparisons. No protected attribute, causation, statistical significance or legal standard is inferred.</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Descriptive fairness review</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GROUP1; reference group GROUP1; count 4; reference count 4; selected 2; TP 1; FP 1; TN 1; FN 1; selection rate percent 50; tpr percent 50; fpr percent 50; selection gap pp 0; tpr gap pp 0; fpr gap pp 0; working status Within supplied thresholds;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GROUP2; reference group GROUP1; count 4; reference count 4; selected 2; TP 1; FP 1; TN 1; FN 1; selection rate percent 50; tpr percent 50; fpr percent 50; selection gap pp 0; tpr gap pp 0; fpr gap pp 0; working status Within supplied thresholds;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20"/>
        <w:gridCol w:w="3380"/>
        <w:gridCol w:w="4160"/>
      </w:tblGrid>
      <w:tr>
        <w:trPr>
          <w:cantSplit/>
          <w:tblHeader/>
        </w:trPr>
        <w:tc>
          <w:tcPr>
            <w:tcW w:type="dxa" w:w="18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3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33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group rates only. No causal, statistical significance, protected-attribute or legal conclusion.</w:t>
            </w:r>
          </w:p>
        </w:tc>
      </w:tr>
      <w:tr>
        <w:trPr>
          <w:cantSplit/>
        </w:trPr>
        <w:tc>
          <w:tcPr>
            <w:tcW w:type="dxa" w:w="18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33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group rates only. No causal, statistical significance, protected-attribute or legal conclusion.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nkyfbvikd83myreovb_z">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Google for Developers: Classification Accuracy, Recall, Precision and Related Metrics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descriptive binary classification arithmetic only. It supplies no fairness threshold, protected group, lending standard, causal conclusion or authorization to make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8jlikcgyoe3trwvkzwcd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12-fairness-assessment-workpaper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nkyfbvikd83myreovb_z" Type="http://schemas.openxmlformats.org/officeDocument/2006/relationships/hyperlink" Target="https://www.rfc-editor.org/rfc/rfc4180" TargetMode="External"/><Relationship Id="rId8jlikcgyoe3trwvkzwcdf" Type="http://schemas.openxmlformats.org/officeDocument/2006/relationships/hyperlink" Target="https://developers.google.com/machine-learning/crash-course/classification/accuracy-precision-recal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Fairness assessment workpaper</dc:title>
  <dc:subject>Fictional sample. Requires tailoring and responsible review.</dc:subject>
  <dc:creator>Business Compliance Tools</dc:creator>
  <cp:keywords>compliance, evidence, us</cp:keywords>
  <dc:description>Fairness assessment workpaper</dc:description>
  <cp:lastModifiedBy>Business Compliance Tools</cp:lastModifiedBy>
  <cp:revision>1</cp:revision>
  <dcterms:created xsi:type="dcterms:W3CDTF">2026-10-09T01:03:46.718Z</dcterms:created>
  <dcterms:modified xsi:type="dcterms:W3CDTF">2026-10-09T01:03:46.718Z</dcterms:modified>
</cp:coreProperties>
</file>

<file path=docProps/custom.xml><?xml version="1.0" encoding="utf-8"?>
<Properties xmlns="http://schemas.openxmlformats.org/officeDocument/2006/custom-properties" xmlns:vt="http://schemas.openxmlformats.org/officeDocument/2006/docPropsVTypes"/>
</file>