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Behavioral deviation dashboard</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Behavioral deviation dashboard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22-behavioural-deviation-dashboard</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2026-10-09.quantitative-workflow.1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calculation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Calculate deviations from approved entity and metric baselines.</w:t>
      </w:r>
    </w:p>
    <w:p>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pPr>
      <w:r>
        <w:t xml:space="preserve">Method and exact sources</w:t>
      </w:r>
    </w:p>
    <w:p>
      <w:r>
        <w:t xml:space="preserve">Method revision 2026-10-09.quantitative-workflow.1.</w:t>
      </w:r>
    </w:p>
    <w:p>
      <w:r>
        <w:t xml:space="preserve">Match exact entity and metric IDs. Show signed and absolute differences and percentage deviation relative to the absolute baseline. Apply an explicit Absolute, Percent, Either or Both rule. Zero baselines make percentage deviation unknown when required. Require matching units and active baseline dates. Preserve exceptions and unknowns.</w:t>
      </w:r>
    </w:p>
    <w:p>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184"/>
        <w:gridCol w:w="3435"/>
        <w:gridCol w:w="947"/>
        <w:gridCol w:w="3794"/>
      </w:tblGrid>
      <w:tr>
        <w:trPr>
          <w:cantSplit/>
          <w:tblHeader/>
        </w:trPr>
        <w:tc>
          <w:tcPr>
            <w:tcW w:type="dxa" w:w="118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43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1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43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fictional-observations.csv</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152</w:t>
            </w:r>
          </w:p>
        </w:tc>
        <w:tc>
          <w:tcPr>
            <w:tcW w:type="dxa" w:w="37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56de420b6b03a93f29524ed880402f39eb06d633eb23c349c75a2b475be7739c</w:t>
            </w:r>
          </w:p>
        </w:tc>
      </w:tr>
      <w:tr>
        <w:trPr>
          <w:cantSplit/>
        </w:trPr>
        <w:tc>
          <w:tcPr>
            <w:tcW w:type="dxa" w:w="11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343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fictional-approved-method.csv</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266</w:t>
            </w:r>
          </w:p>
        </w:tc>
        <w:tc>
          <w:tcPr>
            <w:tcW w:type="dxa" w:w="37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52d6c9038a6b2667b24a4c9a53bf7a26cef9d3dfb26f14072ee5e9b0f18dc390</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283"/>
        <w:gridCol w:w="5077"/>
      </w:tblGrid>
      <w:tr>
        <w:trPr>
          <w:cantSplit/>
          <w:tblHeader/>
        </w:trPr>
        <w:tc>
          <w:tcPr>
            <w:tcW w:type="dxa" w:w="428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0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Analysis reference</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reference</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Analysis owner</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owner</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and method scope</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Population and method scope</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declaration</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records only</w:t>
            </w:r>
          </w:p>
        </w:tc>
      </w:tr>
    </w:tbl>
    <w:p>
      <w:pPr>
        <w:pStyle w:val="Heading1"/>
      </w:pPr>
      <w:r>
        <w:t xml:space="preserve">Review result</w:t>
      </w:r>
    </w:p>
    <w:p>
      <w:r>
        <w:t xml:space="preserve">3 source-linked findings. 0 unresolved or undefined findings.</w:t>
      </w:r>
    </w:p>
    <w:p>
      <w:pPr>
        <w:pStyle w:val="ListParagraph"/>
        <w:numPr>
          <w:ilvl w:val="0"/>
          <w:numId w:val="1"/>
        </w:numPr>
      </w:pPr>
      <w:r>
        <w:t xml:space="preserve">Match exact entity and metric IDs. Show signed and absolute differences and percentage deviation relative to the absolute baseline. Apply an explicit Absolute, Percent, Either or Both rule. Zero baselines make percentage deviation unknown when required. Require matching units and active baseline dates. Preserve exceptions and unknowns.</w:t>
      </w:r>
    </w:p>
    <w:p>
      <w:pPr>
        <w:pStyle w:val="ListParagraph"/>
        <w:numPr>
          <w:ilvl w:val="0"/>
          <w:numId w:val="1"/>
        </w:numPr>
      </w:pPr>
      <w:r>
        <w:t xml:space="preserve">Original sources remain unchanged. Displayed decimals use six places; decisions compare exact rational values.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090"/>
        <w:gridCol w:w="2270"/>
      </w:tblGrid>
      <w:tr>
        <w:trPr>
          <w:cantSplit/>
          <w:tblHeader/>
        </w:trPr>
        <w:tc>
          <w:tcPr>
            <w:tcW w:type="dxa" w:w="709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27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0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records</w:t>
            </w:r>
          </w:p>
        </w:tc>
        <w:tc>
          <w:tcPr>
            <w:tcW w:type="dxa" w:w="22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0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rule records</w:t>
            </w:r>
          </w:p>
        </w:tc>
        <w:tc>
          <w:tcPr>
            <w:tcW w:type="dxa" w:w="22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0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w:t>
            </w:r>
          </w:p>
        </w:tc>
        <w:tc>
          <w:tcPr>
            <w:tcW w:type="dxa" w:w="22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70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Within supplied threshold</w:t>
            </w:r>
          </w:p>
        </w:tc>
        <w:tc>
          <w:tcPr>
            <w:tcW w:type="dxa" w:w="22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bl>
    <w:p>
      <w:pPr>
        <w:pStyle w:val="Heading1"/>
      </w:pPr>
      <w:r>
        <w:t xml:space="preserve">Baseline deviations</w:t>
      </w:r>
    </w:p>
    <w:p>
      <w:r>
        <w:t xml:space="preserve">The first 25 calculated rows appear here. Each calculation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Calculation</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 id REC1; unit USD; baseline 100; difference 20; absolute difference 20; deviation percent 20; working status Within supplied threshold; model version FICTIONAL-1</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514"/>
        <w:gridCol w:w="3441"/>
        <w:gridCol w:w="4405"/>
      </w:tblGrid>
      <w:tr>
        <w:trPr>
          <w:cantSplit/>
          <w:tblHeader/>
        </w:trPr>
        <w:tc>
          <w:tcPr>
            <w:tcW w:type="dxa" w:w="15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4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15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2</w:t>
            </w:r>
          </w:p>
        </w:tc>
        <w:tc>
          <w:tcPr>
            <w:tcW w:type="dxa" w:w="34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Within supplied threshold</w:t>
            </w:r>
          </w:p>
        </w:tc>
        <w:tc>
          <w:tcPr>
            <w:tcW w:type="dxa" w:w="4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customer baseline and thresholds applied. Zero baseline has no percentage deviation.</w:t>
            </w:r>
          </w:p>
        </w:tc>
      </w:tr>
    </w:tbl>
    <w:p>
      <w:pPr>
        <w:pStyle w:val="Heading1"/>
      </w:pPr>
      <w:r>
        <w:t xml:space="preserve">Unresolved items and limitations</w:t>
      </w:r>
    </w:p>
    <w:p>
      <w:pPr>
        <w:pStyle w:val="ListParagraph"/>
        <w:numPr>
          <w:ilvl w:val="0"/>
          <w:numId w:val="1"/>
        </w:numPr>
      </w:pPr>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keepNext/>
      </w:pPr>
      <w:r>
        <w:t xml:space="preserve">Limitations</w:t>
      </w:r>
    </w:p>
    <w:p>
      <w:pPr>
        <w:pStyle w:val="ListParagraph"/>
        <w:keepNext w:val="false"/>
        <w:keepLines/>
        <w:numPr>
          <w:ilvl w:val="0"/>
          <w:numId w:val="1"/>
        </w:numPr>
      </w:pPr>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Comma-Separated Values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source CSV mechanics only. Customer-approved factors, formulas, units, quotas, population and decision thresholds are not specified by this source.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frih25whtp9vpgfhon8e4">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22-behavioural-deviation-dashboard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frih25whtp9vpgfhon8e4" Type="http://schemas.openxmlformats.org/officeDocument/2006/relationships/hyperlink" Target="https://www.rfc-editor.org/rfc/rfc4180"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Behavioral deviation dashboard</dc:title>
  <dc:subject>Fictional sample. Requires tailoring and responsible review.</dc:subject>
  <dc:creator>Business Compliance Tools</dc:creator>
  <cp:keywords>compliance, evidence, us</cp:keywords>
  <dc:description>Behavioral deviation dashboard</dc:description>
  <cp:lastModifiedBy>Business Compliance Tools</cp:lastModifiedBy>
  <cp:revision>1</cp:revision>
  <dcterms:created xsi:type="dcterms:W3CDTF">2026-10-09T01:03:46.589Z</dcterms:created>
  <dcterms:modified xsi:type="dcterms:W3CDTF">2026-10-09T01:03:46.589Z</dcterms:modified>
</cp:coreProperties>
</file>

<file path=docProps/custom.xml><?xml version="1.0" encoding="utf-8"?>
<Properties xmlns="http://schemas.openxmlformats.org/officeDocument/2006/custom-properties" xmlns:vt="http://schemas.openxmlformats.org/officeDocument/2006/docPropsVTypes"/>
</file>