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 w:before="100"/>
      </w:pPr>
      <w:r>
        <w:rPr>
          <w:rFonts w:ascii="Times New Roman" w:cs="Times New Roman" w:eastAsia="Times New Roman" w:hAnsi="Times New Roman"/>
          <w:b/>
          <w:bCs/>
          <w:color w:val="595959"/>
          <w:sz w:val="18"/>
          <w:szCs w:val="18"/>
        </w:rPr>
        <w:t xml:space="preserve">COMPLIANCE WORKING RECORD</w:t>
      </w:r>
    </w:p>
    <w:p>
      <w:pPr>
        <w:spacing w:after="100" w:line="500"/>
      </w:pPr>
      <w:r>
        <w:rPr>
          <w:rFonts w:ascii="Times New Roman" w:cs="Times New Roman" w:eastAsia="Times New Roman" w:hAnsi="Times New Roman"/>
          <w:b/>
          <w:bCs/>
          <w:color w:val="1F1F1F"/>
          <w:sz w:val="40"/>
          <w:szCs w:val="40"/>
        </w:rPr>
        <w:t xml:space="preserve">Performance presentation checker</w:t>
      </w:r>
    </w:p>
    <w:p>
      <w:pPr>
        <w:spacing w:after="320" w:line="340"/>
      </w:pPr>
      <w:r>
        <w:rPr>
          <w:rFonts w:ascii="Times New Roman" w:cs="Times New Roman" w:eastAsia="Times New Roman" w:hAnsi="Times New Roman"/>
          <w:color w:val="333333"/>
          <w:sz w:val="22"/>
          <w:szCs w:val="22"/>
        </w:rPr>
        <w:t xml:space="preserve">Fictional sample. Requires tailoring and responsible review.</w:t>
      </w:r>
    </w:p>
    <w:p>
      <w:pPr>
        <w:pStyle w:val="Heading2"/>
      </w:pPr>
      <w:r>
        <w:t xml:space="preserve">Document control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369"/>
        <w:gridCol w:w="5991"/>
      </w:tblGrid>
      <w:tr>
        <w:trPr>
          <w:cantSplit/>
          <w:tblHeader/>
        </w:trPr>
        <w:tc>
          <w:tcPr>
            <w:tcW w:type="dxa" w:w="33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99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type</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Performance presentation checker</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reference</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25-performance-presentation-checker</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Jurisdiction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United States</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2026-10-09.quantitative-workflow.1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Status</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calculation prepared</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by</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Analysis owner</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Generated</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bl>
    <w:p>
      <w:pPr>
        <w:pStyle w:val="Heading1"/>
      </w:pPr>
      <w:r>
        <w:t xml:space="preserve">Purpose and boundary</w:t>
      </w:r>
    </w:p>
    <w:p>
      <w:r>
        <w:t xml:space="preserve">Check stated period returns against supplied values and the approved cash-flow convention.</w:t>
      </w:r>
    </w:p>
    <w:p>
      <w:r>
        <w:t xml:space="preserve">Calculations use supplied observations and explicitly approved methods. Original files and prior work remain in this browser. Results do not establish source authenticity, population completeness, causation, regulatory compliance or approval to make a customer, supplier, lending or model decision.</w:t>
      </w:r>
    </w:p>
    <w:p>
      <w:pPr>
        <w:pStyle w:val="Heading1"/>
      </w:pPr>
      <w:r>
        <w:t xml:space="preserve">Method and exact sources</w:t>
      </w:r>
    </w:p>
    <w:p>
      <w:r>
        <w:t xml:space="preserve">Method revision 2026-10-09.quantitative-workflow.1.</w:t>
      </w:r>
    </w:p>
    <w:p>
      <w:r>
        <w:t xml:space="preserve">For an explicit End-of-period flow method, calculate period return as (ending_value minus beginning_value minus external_flow) divided by beginning_value times 100. Check claimed_return_percent within tolerance. Validate exact chronological periods, gaps, overlaps, matching currency and value continuity. Chain valid period growth factors to calculate cumulative return. Do not annualize or label this an IRR.</w:t>
      </w:r>
    </w:p>
    <w:p>
      <w:r>
        <w:t xml:space="preserve">Calculations use supplied observations and explicitly approved methods. Original files and prior work remain in this browser. Results do not establish source authenticity, population completeness, causation, regulatory compliance or approval to make a customer, supplier, lending or model decision.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184"/>
        <w:gridCol w:w="3435"/>
        <w:gridCol w:w="947"/>
        <w:gridCol w:w="3794"/>
      </w:tblGrid>
      <w:tr>
        <w:trPr>
          <w:cantSplit/>
          <w:tblHeader/>
        </w:trPr>
        <w:tc>
          <w:tcPr>
            <w:tcW w:type="dxa" w:w="118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43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Filename</w:t>
            </w:r>
          </w:p>
        </w:tc>
        <w:tc>
          <w:tcPr>
            <w:tcW w:type="dxa" w:w="947"/>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Bytes</w:t>
            </w:r>
          </w:p>
        </w:tc>
        <w:tc>
          <w:tcPr>
            <w:tcW w:type="dxa" w:w="379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SHA-256</w:t>
            </w:r>
          </w:p>
        </w:tc>
      </w:tr>
      <w:tr>
        <w:trPr>
          <w:cantSplit/>
        </w:trPr>
        <w:tc>
          <w:tcPr>
            <w:tcW w:type="dxa" w:w="118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primary</w:t>
            </w:r>
          </w:p>
        </w:tc>
        <w:tc>
          <w:tcPr>
            <w:tcW w:type="dxa" w:w="343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fictional-observations.csv</w:t>
            </w:r>
          </w:p>
        </w:tc>
        <w:tc>
          <w:tcPr>
            <w:tcW w:type="dxa" w:w="94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323</w:t>
            </w:r>
          </w:p>
        </w:tc>
        <w:tc>
          <w:tcPr>
            <w:tcW w:type="dxa" w:w="379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1c048a31f12876dbc049ecfb6e4937cca110cd5f77dad131c3591e2961fdddfe</w:t>
            </w:r>
          </w:p>
        </w:tc>
      </w:tr>
      <w:tr>
        <w:trPr>
          <w:cantSplit/>
        </w:trPr>
        <w:tc>
          <w:tcPr>
            <w:tcW w:type="dxa" w:w="118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comparison</w:t>
            </w:r>
          </w:p>
        </w:tc>
        <w:tc>
          <w:tcPr>
            <w:tcW w:type="dxa" w:w="343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fictional-approved-method.csv</w:t>
            </w:r>
          </w:p>
        </w:tc>
        <w:tc>
          <w:tcPr>
            <w:tcW w:type="dxa" w:w="94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137</w:t>
            </w:r>
          </w:p>
        </w:tc>
        <w:tc>
          <w:tcPr>
            <w:tcW w:type="dxa" w:w="379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53500f40ad0de4bc047f1eeefe11ca5f381f0fbe0b8a47bee343436a00658aba</w:t>
            </w:r>
          </w:p>
        </w:tc>
      </w:tr>
    </w:tbl>
    <w:p>
      <w:pPr>
        <w:pStyle w:val="Heading1"/>
      </w:pPr>
      <w:r>
        <w:t xml:space="preserve">Frozen inputs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4529"/>
        <w:gridCol w:w="4831"/>
      </w:tblGrid>
      <w:tr>
        <w:trPr>
          <w:cantSplit/>
          <w:tblHeader/>
        </w:trPr>
        <w:tc>
          <w:tcPr>
            <w:tcW w:type="dxa" w:w="452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483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452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Analysis reference</w:t>
            </w:r>
          </w:p>
        </w:tc>
        <w:tc>
          <w:tcPr>
            <w:tcW w:type="dxa" w:w="483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Analysis reference</w:t>
            </w:r>
          </w:p>
        </w:tc>
      </w:tr>
      <w:tr>
        <w:trPr>
          <w:cantSplit/>
        </w:trPr>
        <w:tc>
          <w:tcPr>
            <w:tcW w:type="dxa" w:w="452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Analysis owner</w:t>
            </w:r>
          </w:p>
        </w:tc>
        <w:tc>
          <w:tcPr>
            <w:tcW w:type="dxa" w:w="483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Analysis owner</w:t>
            </w:r>
          </w:p>
        </w:tc>
      </w:tr>
      <w:tr>
        <w:trPr>
          <w:cantSplit/>
        </w:trPr>
        <w:tc>
          <w:tcPr>
            <w:tcW w:type="dxa" w:w="452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Observation date</w:t>
            </w:r>
          </w:p>
        </w:tc>
        <w:tc>
          <w:tcPr>
            <w:tcW w:type="dxa" w:w="483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452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Population and method scope</w:t>
            </w:r>
          </w:p>
        </w:tc>
        <w:tc>
          <w:tcPr>
            <w:tcW w:type="dxa" w:w="483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Population and method scope</w:t>
            </w:r>
          </w:p>
        </w:tc>
      </w:tr>
      <w:tr>
        <w:trPr>
          <w:cantSplit/>
        </w:trPr>
        <w:tc>
          <w:tcPr>
            <w:tcW w:type="dxa" w:w="452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Population declaration</w:t>
            </w:r>
          </w:p>
        </w:tc>
        <w:tc>
          <w:tcPr>
            <w:tcW w:type="dxa" w:w="483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Selected records only</w:t>
            </w:r>
          </w:p>
        </w:tc>
      </w:tr>
      <w:tr>
        <w:trPr>
          <w:cantSplit/>
        </w:trPr>
        <w:tc>
          <w:tcPr>
            <w:tcW w:type="dxa" w:w="452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Absolute calculation tolerance</w:t>
            </w:r>
          </w:p>
        </w:tc>
        <w:tc>
          <w:tcPr>
            <w:tcW w:type="dxa" w:w="483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0</w:t>
            </w:r>
          </w:p>
        </w:tc>
      </w:tr>
    </w:tbl>
    <w:p>
      <w:pPr>
        <w:pStyle w:val="Heading1"/>
      </w:pPr>
      <w:r>
        <w:t xml:space="preserve">Review result</w:t>
      </w:r>
    </w:p>
    <w:p>
      <w:r>
        <w:t xml:space="preserve">6 source-linked findings. 0 unresolved or undefined findings.</w:t>
      </w:r>
    </w:p>
    <w:p>
      <w:pPr>
        <w:pStyle w:val="ListParagraph"/>
        <w:numPr>
          <w:ilvl w:val="0"/>
          <w:numId w:val="1"/>
        </w:numPr>
      </w:pPr>
      <w:r>
        <w:t xml:space="preserve">For an explicit End-of-period flow method, calculate period return as (ending_value minus beginning_value minus external_flow) divided by beginning_value times 100. Check claimed_return_percent within tolerance. Validate exact chronological periods, gaps, overlaps, matching currency and value continuity. Chain valid period growth factors to calculate cumulative return. Do not annualize or label this an IRR.</w:t>
      </w:r>
    </w:p>
    <w:p>
      <w:pPr>
        <w:pStyle w:val="ListParagraph"/>
        <w:numPr>
          <w:ilvl w:val="0"/>
          <w:numId w:val="1"/>
        </w:numPr>
      </w:pPr>
      <w:r>
        <w:t xml:space="preserve">Original sources remain unchanged. Displayed decimals use six places; decisions compare exact rational values.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6777"/>
        <w:gridCol w:w="2583"/>
      </w:tblGrid>
      <w:tr>
        <w:trPr>
          <w:cantSplit/>
          <w:tblHeader/>
        </w:trPr>
        <w:tc>
          <w:tcPr>
            <w:tcW w:type="dxa" w:w="6777"/>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Measure</w:t>
            </w:r>
          </w:p>
        </w:tc>
        <w:tc>
          <w:tcPr>
            <w:tcW w:type="dxa" w:w="2583"/>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677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Source records</w:t>
            </w:r>
          </w:p>
        </w:tc>
        <w:tc>
          <w:tcPr>
            <w:tcW w:type="dxa" w:w="258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w:t>
            </w:r>
          </w:p>
        </w:tc>
      </w:tr>
      <w:tr>
        <w:trPr>
          <w:cantSplit/>
        </w:trPr>
        <w:tc>
          <w:tcPr>
            <w:tcW w:type="dxa" w:w="677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Approved rule records</w:t>
            </w:r>
          </w:p>
        </w:tc>
        <w:tc>
          <w:tcPr>
            <w:tcW w:type="dxa" w:w="258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r>
      <w:tr>
        <w:trPr>
          <w:cantSplit/>
        </w:trPr>
        <w:tc>
          <w:tcPr>
            <w:tcW w:type="dxa" w:w="677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Retained</w:t>
            </w:r>
          </w:p>
        </w:tc>
        <w:tc>
          <w:tcPr>
            <w:tcW w:type="dxa" w:w="258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3</w:t>
            </w:r>
          </w:p>
        </w:tc>
      </w:tr>
      <w:tr>
        <w:trPr>
          <w:cantSplit/>
        </w:trPr>
        <w:tc>
          <w:tcPr>
            <w:tcW w:type="dxa" w:w="677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Within tolerance</w:t>
            </w:r>
          </w:p>
        </w:tc>
        <w:tc>
          <w:tcPr>
            <w:tcW w:type="dxa" w:w="258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w:t>
            </w:r>
          </w:p>
        </w:tc>
      </w:tr>
      <w:tr>
        <w:trPr>
          <w:cantSplit/>
        </w:trPr>
        <w:tc>
          <w:tcPr>
            <w:tcW w:type="dxa" w:w="677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Calculated</w:t>
            </w:r>
          </w:p>
        </w:tc>
        <w:tc>
          <w:tcPr>
            <w:tcW w:type="dxa" w:w="258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r>
    </w:tbl>
    <w:p>
      <w:pPr>
        <w:pStyle w:val="Heading1"/>
      </w:pPr>
      <w:r>
        <w:t xml:space="preserve">Period return checks</w:t>
      </w:r>
    </w:p>
    <w:p>
      <w:r>
        <w:t xml:space="preserve">The first 25 calculated rows appear here. Each calculation preview is limited to 1000 characters. Complete rows and all exact source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054"/>
        <w:gridCol w:w="7306"/>
      </w:tblGrid>
      <w:tr>
        <w:trPr>
          <w:cantSplit/>
          <w:tblHeader/>
        </w:trPr>
        <w:tc>
          <w:tcPr>
            <w:tcW w:type="dxa" w:w="205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730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Calculation</w:t>
            </w:r>
          </w:p>
        </w:tc>
      </w:tr>
      <w:tr>
        <w:trPr>
          <w:cantSplit/>
        </w:trPr>
        <w:tc>
          <w:tcPr>
            <w:tcW w:type="dxa" w:w="205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SERIES1</w:t>
            </w:r>
          </w:p>
        </w:tc>
        <w:tc>
          <w:tcPr>
            <w:tcW w:type="dxa" w:w="730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series id SERIES1; currency USD; calculated return percent 10; claim difference pp 0; exact return 10 / 1; working status Within tolerance; model version FICTIONAL-1</w:t>
            </w:r>
          </w:p>
        </w:tc>
      </w:tr>
      <w:tr>
        <w:trPr>
          <w:cantSplit/>
        </w:trPr>
        <w:tc>
          <w:tcPr>
            <w:tcW w:type="dxa" w:w="205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SERIES1</w:t>
            </w:r>
          </w:p>
        </w:tc>
        <w:tc>
          <w:tcPr>
            <w:tcW w:type="dxa" w:w="730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series id SERIES1; currency USD; calculated return percent 5; claim difference pp 0; exact return 5 / 1; working status Within tolerance; model version FICTIONAL-1</w:t>
            </w:r>
          </w:p>
        </w:tc>
      </w:tr>
    </w:tbl>
    <w:p>
      <w:pPr>
        <w:pStyle w:val="Heading1"/>
      </w:pPr>
      <w:r>
        <w:t xml:space="preserve">Cumulative returns</w:t>
      </w:r>
    </w:p>
    <w:p>
      <w:r>
        <w:t xml:space="preserve">The first 25 calculated rows appear here. Each calculation preview is limited to 1000 characters. Complete rows and all exact source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054"/>
        <w:gridCol w:w="7306"/>
      </w:tblGrid>
      <w:tr>
        <w:trPr>
          <w:cantSplit/>
          <w:tblHeader/>
        </w:trPr>
        <w:tc>
          <w:tcPr>
            <w:tcW w:type="dxa" w:w="205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730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Calculation</w:t>
            </w:r>
          </w:p>
        </w:tc>
      </w:tr>
      <w:tr>
        <w:trPr>
          <w:cantSplit/>
        </w:trPr>
        <w:tc>
          <w:tcPr>
            <w:tcW w:type="dxa" w:w="205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SERIES1</w:t>
            </w:r>
          </w:p>
        </w:tc>
        <w:tc>
          <w:tcPr>
            <w:tcW w:type="dxa" w:w="730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series id SERIES1; periods 2; cumulative return percent 15.5; exact cumulative 31 / 2; currency USD; model version FICTIONAL-1</w:t>
            </w:r>
          </w:p>
        </w:tc>
      </w:tr>
    </w:tbl>
    <w:p>
      <w:pPr>
        <w:pStyle w:val="Heading1"/>
      </w:pPr>
      <w:r>
        <w:t xml:space="preserve">Source-linked checks</w:t>
      </w:r>
    </w:p>
    <w:p>
      <w:r>
        <w:t xml:space="preserve">The formal report shows at most the first 100 named check rows and 400 characters per displayed field. Complete values, result columns, sources and output are retained in the Excel and JSON files.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745"/>
        <w:gridCol w:w="2538"/>
        <w:gridCol w:w="5077"/>
      </w:tblGrid>
      <w:tr>
        <w:trPr>
          <w:cantSplit/>
          <w:tblHeader/>
        </w:trPr>
        <w:tc>
          <w:tcPr>
            <w:tcW w:type="dxa" w:w="174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253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c>
          <w:tcPr>
            <w:tcW w:type="dxa" w:w="5077"/>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Finding</w:t>
            </w:r>
          </w:p>
        </w:tc>
      </w:tr>
      <w:tr>
        <w:trPr>
          <w:cantSplit/>
        </w:trPr>
        <w:tc>
          <w:tcPr>
            <w:tcW w:type="dxa" w:w="174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Primary / 2</w:t>
            </w:r>
          </w:p>
        </w:tc>
        <w:tc>
          <w:tcPr>
            <w:tcW w:type="dxa" w:w="253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Within tolerance</w:t>
            </w:r>
          </w:p>
        </w:tc>
        <w:tc>
          <w:tcPr>
            <w:tcW w:type="dxa" w:w="507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End-of-period cash-flow convention applied. No annualization or IRR.</w:t>
            </w:r>
          </w:p>
        </w:tc>
      </w:tr>
      <w:tr>
        <w:trPr>
          <w:cantSplit/>
        </w:trPr>
        <w:tc>
          <w:tcPr>
            <w:tcW w:type="dxa" w:w="174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Primary / 3</w:t>
            </w:r>
          </w:p>
        </w:tc>
        <w:tc>
          <w:tcPr>
            <w:tcW w:type="dxa" w:w="253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Within tolerance</w:t>
            </w:r>
          </w:p>
        </w:tc>
        <w:tc>
          <w:tcPr>
            <w:tcW w:type="dxa" w:w="507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End-of-period cash-flow convention applied. No annualization or IRR.</w:t>
            </w:r>
          </w:p>
        </w:tc>
      </w:tr>
      <w:tr>
        <w:trPr>
          <w:cantSplit/>
        </w:trPr>
        <w:tc>
          <w:tcPr>
            <w:tcW w:type="dxa" w:w="174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["SERIES1"]</w:t>
            </w:r>
          </w:p>
        </w:tc>
        <w:tc>
          <w:tcPr>
            <w:tcW w:type="dxa" w:w="253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Calculated</w:t>
            </w:r>
          </w:p>
        </w:tc>
        <w:tc>
          <w:tcPr>
            <w:tcW w:type="dxa" w:w="507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Contiguous periods chained under the approved flow convention.</w:t>
            </w:r>
          </w:p>
        </w:tc>
      </w:tr>
    </w:tbl>
    <w:p>
      <w:pPr>
        <w:pStyle w:val="Heading1"/>
      </w:pPr>
      <w:r>
        <w:t xml:space="preserve">Unresolved items and limitations</w:t>
      </w:r>
    </w:p>
    <w:p>
      <w:pPr>
        <w:pStyle w:val="ListParagraph"/>
        <w:numPr>
          <w:ilvl w:val="0"/>
          <w:numId w:val="1"/>
        </w:numPr>
      </w:pPr>
      <w:r>
        <w:t xml:space="preserve">Calculations use supplied observations and explicitly approved methods. Original files and prior work remain in this browser. Results do not establish source authenticity, population completeness, causation, regulatory compliance or approval to make a customer, supplier, lending or model decision.</w:t>
      </w:r>
    </w:p>
    <w:p>
      <w:pPr>
        <w:pStyle w:val="Heading1"/>
        <w:keepNext/>
      </w:pPr>
      <w:r>
        <w:t xml:space="preserve">Limitations</w:t>
      </w:r>
    </w:p>
    <w:p>
      <w:pPr>
        <w:pStyle w:val="ListParagraph"/>
        <w:keepNext w:val="false"/>
        <w:keepLines/>
        <w:numPr>
          <w:ilvl w:val="0"/>
          <w:numId w:val="1"/>
        </w:numPr>
      </w:pPr>
      <w:r>
        <w:t xml:space="preserve">Calculations use supplied observations and explicitly approved methods. Original files and prior work remain in this browser. Results do not establish source authenticity, population completeness, causation, regulatory compliance or approval to make a customer, supplier, lending or model decision.</w:t>
      </w:r>
    </w:p>
    <w:p>
      <w:pPr>
        <w:pStyle w:val="Heading1"/>
        <w:keepNext/>
      </w:pPr>
      <w:r>
        <w:t xml:space="preserve">Official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025"/>
        <w:gridCol w:w="3025"/>
        <w:gridCol w:w="1418"/>
        <w:gridCol w:w="1892"/>
      </w:tblGrid>
      <w:tr>
        <w:trPr>
          <w:cantSplit/>
          <w:tblHeader/>
        </w:trPr>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Provision</w:t>
            </w:r>
          </w:p>
        </w:tc>
        <w:tc>
          <w:tcPr>
            <w:tcW w:type="dxa" w:w="14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Reviewed</w:t>
            </w:r>
          </w:p>
        </w:tc>
        <w:tc>
          <w:tcPr>
            <w:tcW w:type="dxa" w:w="18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Link</w:t>
            </w:r>
          </w:p>
        </w:tc>
      </w:tr>
      <w:tr>
        <w:trPr>
          <w:cantSplit/>
        </w:trPr>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RFC Editor: Common Format and MIME Type for Comma-Separated Values Files</w:t>
            </w:r>
          </w:p>
        </w:tc>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Supports source CSV mechanics only. Customer-approved factors, formulas, units, quotas, population and decision thresholds are not specified by this source.</w:t>
            </w:r>
          </w:p>
        </w:tc>
        <w:tc>
          <w:tcPr>
            <w:tcW w:type="dxa" w:w="1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tcMar>
              <w:top w:type="dxa" w:w="100"/>
              <w:left w:type="dxa" w:w="120"/>
              <w:bottom w:type="dxa" w:w="100"/>
              <w:right w:type="dxa" w:w="120"/>
            </w:tcMar>
            <w:vAlign w:val="center"/>
          </w:tcPr>
          <w:p>
            <w:pPr>
              <w:spacing w:after="0" w:before="0" w:line="260"/>
            </w:pPr>
            <w:hyperlink w:history="1" r:id="rId-zj2m132qfg5ido8tzxvv">
              <w:r>
                <w:rPr>
                  <w:rFonts w:ascii="Times New Roman" w:cs="Times New Roman" w:eastAsia="Times New Roman" w:hAnsi="Times New Roman"/>
                  <w:b w:val="false"/>
                  <w:bCs w:val="false"/>
                  <w:color w:val="1F1F1F"/>
                  <w:sz w:val="20"/>
                  <w:szCs w:val="20"/>
                  <w:u w:val="single"/>
                </w:rPr>
                <w:t xml:space="preserve">Open official source</w:t>
              </w:r>
            </w:hyperlink>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Times New Roman" w:cs="Times New Roman" w:eastAsia="Times New Roman" w:hAnsi="Times New Roman"/>
        <w:color w:val="595959"/>
        <w:sz w:val="17"/>
        <w:szCs w:val="17"/>
      </w:rPr>
      <w:t xml:space="preserve">Page </w:t>
    </w:r>
    <w:r>
      <w:rPr>
        <w:rFonts w:ascii="Times New Roman" w:cs="Times New Roman" w:eastAsia="Times New Roman" w:hAnsi="Times New Roman"/>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9D9" w:sz="2"/>
      </w:pBdr>
      <w:spacing w:after="80"/>
    </w:pPr>
    <w:r>
      <w:rPr>
        <w:rFonts w:ascii="Times New Roman" w:cs="Times New Roman" w:eastAsia="Times New Roman" w:hAnsi="Times New Roman"/>
        <w:color w:val="595959"/>
        <w:sz w:val="17"/>
        <w:szCs w:val="17"/>
      </w:rPr>
      <w:t xml:space="preserve">Business Compliance Tools</w:t>
    </w:r>
    <w:r>
      <w:rPr>
        <w:rFonts w:ascii="Times New Roman" w:cs="Times New Roman" w:eastAsia="Times New Roman" w:hAnsi="Times New Roman"/>
        <w:color w:val="595959"/>
        <w:sz w:val="17"/>
        <w:szCs w:val="17"/>
      </w:rPr>
      <w:t xml:space="preserve">  |  25-performance-presentation-checker</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1F1F1F"/>
        <w:sz w:val="22"/>
        <w:szCs w:val="22"/>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20"/>
    </w:pPr>
    <w:rPr>
      <w:rFonts w:ascii="Times New Roman" w:cs="Times New Roman" w:eastAsia="Times New Roman" w:hAnsi="Times New Roman"/>
      <w:b/>
      <w:bCs/>
      <w:color w:val="1F1F1F"/>
      <w:sz w:val="28"/>
      <w:szCs w:val="28"/>
    </w:rPr>
  </w:style>
  <w:style w:type="paragraph" w:styleId="Heading2">
    <w:name w:val="Heading 2"/>
    <w:basedOn w:val="Normal"/>
    <w:next w:val="Normal"/>
    <w:qFormat/>
    <w:pPr>
      <w:keepNext/>
      <w:spacing w:after="120" w:before="240"/>
    </w:pPr>
    <w:rPr>
      <w:rFonts w:ascii="Times New Roman" w:cs="Times New Roman" w:eastAsia="Times New Roman" w:hAnsi="Times New Roman"/>
      <w:b/>
      <w:bCs/>
      <w:color w:val="1F1F1F"/>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zj2m132qfg5ido8tzxvv" Type="http://schemas.openxmlformats.org/officeDocument/2006/relationships/hyperlink" Target="https://www.rfc-editor.org/rfc/rfc4180"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Performance presentation checker</dc:title>
  <dc:subject>Fictional sample. Requires tailoring and responsible review.</dc:subject>
  <dc:creator>Business Compliance Tools</dc:creator>
  <cp:keywords>compliance, evidence, us</cp:keywords>
  <dc:description>Performance presentation checker</dc:description>
  <cp:lastModifiedBy>Business Compliance Tools</cp:lastModifiedBy>
  <cp:revision>1</cp:revision>
  <dcterms:created xsi:type="dcterms:W3CDTF">2026-10-09T01:03:46.621Z</dcterms:created>
  <dcterms:modified xsi:type="dcterms:W3CDTF">2026-10-09T01:03:46.621Z</dcterms:modified>
</cp:coreProperties>
</file>

<file path=docProps/custom.xml><?xml version="1.0" encoding="utf-8"?>
<Properties xmlns="http://schemas.openxmlformats.org/officeDocument/2006/custom-properties" xmlns:vt="http://schemas.openxmlformats.org/officeDocument/2006/docPropsVTypes"/>
</file>