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Inherent and residual risk comparison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Inherent and residual risk comparison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26-inherent-and-residual-risk-comparison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approved inherent and residual assessments without inventing control effectiveness.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Validate likelihood and impact against the exact approved scales. Multiply uses likelihood times impact. Weighted sum uses (likelihood times likelihood_weight plus impact times impact_weight) divided by total weight. Retain units, scale limits and method version. Do not invent risk bands or infer effectiveness from the score. Require exactly one Inherent and one Residual assessment for each risk. Residual dates cannot precede inherent dates. Show score difference and percentage decrease only when the inherent score is positive. Residual records require explicit control references.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221</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f1266d0a77d09130746dbe43661294857d28effa4240fbb2c66e1a42c2e88f8d</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226</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f3ce9107a27b232c8fa5c054bddf4a3a16262d35d9ba0df525bed1709587de20</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4 source-linked findings. 0 unresolved or undefined findings.</w:t>
      </w:r>
    </w:p>
    <w:p>
      <w:pPr>
        <w:pStyle w:val="ListParagraph"/>
        <w:numPr>
          <w:ilvl w:val="0"/>
          <w:numId w:val="1"/>
        </w:numPr>
      </w:pPr>
      <w:r>
        <w:t xml:space="preserve">Validate likelihood and impact against the exact approved scales. Multiply uses likelihood times impact. Weighted sum uses (likelihood times likelihood_weight plus impact times impact_weight) divided by total weight. Retain units, scale limits and method version. Do not invent risk bands or infer effectiveness from the score. Require exactly one Inherent and one Residual assessment for each risk. Residual dates cannot precede inherent dates. Show score difference and percentage decrease only when the inherent score is positive. Residual records require explicit control references.</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Inherent and residual comparisons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id RISK1; inherent 8; residual 4; difference -4; decrease percent 50; exact difference -4 / 1;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651"/>
        <w:gridCol w:w="1835"/>
        <w:gridCol w:w="5874"/>
      </w:tblGrid>
      <w:tr>
        <w:trPr>
          <w:cantSplit/>
          <w:tblHeader/>
        </w:trPr>
        <w:tc>
          <w:tcPr>
            <w:tcW w:type="dxa" w:w="165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8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8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6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["RISK1"]</w:t>
            </w:r>
          </w:p>
        </w:tc>
        <w:tc>
          <w:tcPr>
            <w:tcW w:type="dxa" w:w="18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8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Score change does not authenticate control effectiveness. Zero inherent score has no percentage decrease.</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2rdnmklsqnpku8-ql5y3">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26-inherent-and-residual-risk-comparison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2rdnmklsqnpku8-ql5y3"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Inherent and residual risk comparison</dc:title>
  <dc:subject>Fictional sample. Requires tailoring and responsible review.</dc:subject>
  <dc:creator>Business Compliance Tools</dc:creator>
  <cp:keywords>compliance, evidence, us</cp:keywords>
  <dc:description>Inherent and residual risk comparison</dc:description>
  <cp:lastModifiedBy>Business Compliance Tools</cp:lastModifiedBy>
  <cp:revision>1</cp:revision>
  <dcterms:created xsi:type="dcterms:W3CDTF">2026-10-09T01:03:46.498Z</dcterms:created>
  <dcterms:modified xsi:type="dcterms:W3CDTF">2026-10-09T01:03:46.498Z</dcterms:modified>
</cp:coreProperties>
</file>

<file path=docProps/custom.xml><?xml version="1.0" encoding="utf-8"?>
<Properties xmlns="http://schemas.openxmlformats.org/officeDocument/2006/custom-properties" xmlns:vt="http://schemas.openxmlformats.org/officeDocument/2006/docPropsVTypes"/>
</file>