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Risk scoring calculator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scoring calculator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26-risk-scoring-calculator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likelihood and impact scores under a stated approved formula.</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Validate likelihood and impact against the exact approved scales. Multiply uses likelihood times impact. Weighted sum uses (likelihood times likelihood_weight plus impact times impact_weight) divided by total weight. Retain units, scale limits and method version. Do not invent risk bands or infer effectiveness from the score.</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111</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1fa83c85938db6b8a19373a7e7f647b8dc711338f0e7acb40be942d47bb354d0</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226</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f3ce9107a27b232c8fa5c054bddf4a3a16262d35d9ba0df525bed1709587de20</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3 source-linked findings. 0 unresolved or undefined findings.</w:t>
      </w:r>
    </w:p>
    <w:p>
      <w:pPr>
        <w:pStyle w:val="ListParagraph"/>
        <w:numPr>
          <w:ilvl w:val="0"/>
          <w:numId w:val="1"/>
        </w:numPr>
      </w:pPr>
      <w:r>
        <w:t xml:space="preserve">Validate likelihood and impact against the exact approved scales. Multiply uses likelihood times impact. Weighted sum uses (likelihood times likelihood_weight plus impact times impact_weight) divided by total weight. Retain units, scale limits and method version. Do not invent risk bands or infer effectiveness from the score.</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Approved risk scores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id RISK1; score 8; exact score 8 / 1; method Multiply;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42"/>
        <w:gridCol w:w="1766"/>
        <w:gridCol w:w="5652"/>
      </w:tblGrid>
      <w:tr>
        <w:trPr>
          <w:cantSplit/>
          <w:tblHeader/>
        </w:trPr>
        <w:tc>
          <w:tcPr>
            <w:tcW w:type="dxa" w:w="1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7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7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Score uses the supplied approved method and exact scales.</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5xu-pkstwjfrbra3lb_as">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26-risk-scoring-calculator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xu-pkstwjfrbra3lb_as"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scoring calculator</dc:title>
  <dc:subject>Fictional sample. Requires tailoring and responsible review.</dc:subject>
  <dc:creator>Business Compliance Tools</dc:creator>
  <cp:keywords>compliance, evidence, us</cp:keywords>
  <dc:description>Risk scoring calculator</dc:description>
  <cp:lastModifiedBy>Business Compliance Tools</cp:lastModifiedBy>
  <cp:revision>1</cp:revision>
  <dcterms:created xsi:type="dcterms:W3CDTF">2026-10-09T01:03:46.479Z</dcterms:created>
  <dcterms:modified xsi:type="dcterms:W3CDTF">2026-10-09T01:03:46.479Z</dcterms:modified>
</cp:coreProperties>
</file>

<file path=docProps/custom.xml><?xml version="1.0" encoding="utf-8"?>
<Properties xmlns="http://schemas.openxmlformats.org/officeDocument/2006/custom-properties" xmlns:vt="http://schemas.openxmlformats.org/officeDocument/2006/docPropsVTypes"/>
</file>