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Fraud risk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Fraud risk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fraud schemes, opportunities, concealment paths and evidenced control responses.</w:t>
      </w:r>
    </w:p>
    <w:p>
      <w:r>
        <w:t xml:space="preserve">Bind fraud scenarios to actual processes, assets, actor opportunity and concealment paths. Keep observed facts separate from suspected schemes. Check approved inherent/residual judgments, preventive/detective controls, actual test evidence, treatment decisions and review dates. No fraud allegation or effectiveness assurance is inferred.</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Fraud scenario and control-response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Process Name. Fictional supplier payment approval Asset At Risk. Fictional operating cash Actor Role. Fictional payment preparer Opportunity. Customer-reported ability to alter supplier bank details Concealment Path. Fictional altered supporting invoice reference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unauthorized asset diversion and concealment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Fraud scenario and control-response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unauthorized asset diversion and concealment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{"subjectId":"SUB1","processName":"Fictional supplier payment approval","assetAtRisk":"Fictional operating cash","actorRole":"Fictional payment preparer","opportunity":"Customer-reported ability to alter supplier bank details","concealmentPath":"Fictional altered supporting invoice reference","scopeApprovalRef":"FICTIONAL-SCOPE-1"}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Government Accountability Office: A Framework for Managing Fraud Risks in Federal Programs, GAO-15-593SP</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fraud scenarios to actual processes, assets, actor opportunity and concealment paths. Keep observed facts separate from suspected schemes. Check approved inherent/residual judgments, preventive/detective controls, actual test evidence, treatment decisions and review dates. No fraud allegation or effectiveness assurance is inferred.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r6adneiueufdlaczwrv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r6adneiueufdlaczwrvy" Type="http://schemas.openxmlformats.org/officeDocument/2006/relationships/hyperlink" Target="https://www.gao.gov/products/gao-15-593sp"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Fraud risk assessment preparation</dc:title>
  <dc:subject>Fictional sample. Requires tailoring and responsible review.</dc:subject>
  <dc:creator>Business Compliance Tools</dc:creator>
  <cp:keywords>compliance, evidence, us</cp:keywords>
  <dc:description>Fraud risk assessment preparation</dc:description>
  <cp:lastModifiedBy>Business Compliance Tools</cp:lastModifiedBy>
  <cp:revision>1</cp:revision>
  <dcterms:created xsi:type="dcterms:W3CDTF">2026-10-09T03:49:53.368Z</dcterms:created>
  <dcterms:modified xsi:type="dcterms:W3CDTF">2026-10-09T03:49:53.368Z</dcterms:modified>
</cp:coreProperties>
</file>

<file path=docProps/custom.xml><?xml version="1.0" encoding="utf-8"?>
<Properties xmlns="http://schemas.openxmlformats.org/officeDocument/2006/custom-properties" xmlns:vt="http://schemas.openxmlformats.org/officeDocument/2006/docPropsVTypes"/>
</file>