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Risk appetite statement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Risk appetite statement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an approved risk appetite statement and exact observed-threshold comparisons.</w:t>
      </w:r>
    </w:p>
    <w:p>
      <w:r>
        <w:t xml:space="preserve">Bind each metric to an approved definition, exact unit, observation period, threshold direction and owner. Compare finite decimal observations with approved inclusive or exclusive thresholds using exact integer arithmetic. Preserve the signed difference, actual evidence, breach response and review dates. Never combine currencies, units or periods, or invent management appetite.</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Approved appetite statement and threshold register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Risk Category. Operational payment loss Business Objective. Limit observed payment loss Metric Scope. Fictional US supplier payments in the selected period Scope Approval reference. FICTIONAL-SCOPE-1</w:t>
            </w:r>
          </w:p>
        </w:tc>
      </w:tr>
    </w:tbl>
    <w:p>
      <w:pPr>
        <w:pStyle w:val="Heading1"/>
      </w:pPr>
      <w:r>
        <w:t xml:space="preserve">Metrics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 ID. M1 Subject ID. SUB1 Definition. Fictional maximum observed loss in the exact selected USD period Unit. USD Period From. 2026-01-01 Period Through. 2026-10-08 Comparison. At most Threshold. 100.10 Observation. 100.10 Observation Unit. USD Observation From. 2026-01-01 Observation Through. 2026-10-08 Owner. Fictional metric owner Approved By. Fictional management approver Approved On. 2026-01-01 Review On. 2026-12-31 Source ID. f1 Source Locator. Fictional approved appetite threshold Evidence IDs. ["E1"] Breach Action IDs.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M1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M1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Approved appetite statement and threshold register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Metric. M1 Subject. SUB1 Definition. Fictional maximum observed loss in the exact selected USD period Unit. USD Comparison. At most Threshold. 100.10 Observation. 100.10 Signed observation minus threshold. 0 Result. Within approved appetite</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{"subjectId":"SUB1","riskCategory":"Operational payment loss","businessObjective":"Limit observed payment loss","metricScope":"Fictional US supplier payments in the selected period","scopeApprovalRef":"FICTIONAL-SCOPE-1"}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M1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M1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29"/>
        <w:gridCol w:w="841"/>
        <w:gridCol w:w="2524"/>
        <w:gridCol w:w="3366"/>
      </w:tblGrid>
      <w:tr>
        <w:trPr>
          <w:cantSplit/>
          <w:tblHeader/>
        </w:trPr>
        <w:tc>
          <w:tcPr>
            <w:tcW w:type="dxa" w:w="26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25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36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appetite comparison</w:t>
            </w:r>
          </w:p>
        </w:tc>
        <w:tc>
          <w:tcPr>
            <w:tcW w:type="dxa" w:w="8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M1</w:t>
            </w:r>
          </w:p>
        </w:tc>
        <w:tc>
          <w:tcPr>
            <w:tcW w:type="dxa" w:w="25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Within approved appetite</w:t>
            </w:r>
          </w:p>
        </w:tc>
        <w:tc>
          <w:tcPr>
            <w:tcW w:type="dxa" w:w="336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declared unit and period comparison. Threshold boundary follows the approved inclusive or exclusive direction.</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Identifying and Estimating Cybersecurity Risk for Enterprise Risk Management, NIST IR 8286A Revision 1</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each metric to an approved definition, exact unit, observation period, threshold direction and owner. Compare finite decimal observations with approved inclusive or exclusive thresholds using exact integer arithmetic. Preserve the signed difference, actual evidence, breach response and review dates. Never combine currencies, units or periods, or invent management appetite.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l8y26kdcd51m0q3c4ibk">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l8y26kdcd51m0q3c4ibk" Type="http://schemas.openxmlformats.org/officeDocument/2006/relationships/hyperlink" Target="https://csrc.nist.gov/pubs/ir/8286/a/r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appetite statement preparation</dc:title>
  <dc:subject>Fictional sample. Requires tailoring and responsible review.</dc:subject>
  <dc:creator>Business Compliance Tools</dc:creator>
  <cp:keywords>compliance, evidence, us</cp:keywords>
  <dc:description>Risk appetite statement preparation</dc:description>
  <cp:lastModifiedBy>Business Compliance Tools</cp:lastModifiedBy>
  <cp:revision>1</cp:revision>
  <dcterms:created xsi:type="dcterms:W3CDTF">2026-10-09T03:49:53.416Z</dcterms:created>
  <dcterms:modified xsi:type="dcterms:W3CDTF">2026-10-09T03:49:53.416Z</dcterms:modified>
</cp:coreProperties>
</file>

<file path=docProps/custom.xml><?xml version="1.0" encoding="utf-8"?>
<Properties xmlns="http://schemas.openxmlformats.org/officeDocument/2006/custom-properties" xmlns:vt="http://schemas.openxmlformats.org/officeDocument/2006/docPropsVTypes"/>
</file>