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Legal-entity reconciliation</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Legal-entity reconciliation</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20-legal-entity-reconciliation</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2026-10-09.source-reconciliation.1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source review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 owner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Compare supplied registry, contract, invoice and onboarding records with a declared entity master.</w:t>
      </w:r>
    </w:p>
    <w:p>
      <w:r>
        <w:t xml:space="preserve">Mechanical working results use exact supplied source populations and customer-approved rules. Originals remain unchanged in this browser. No identity, legal obligation, source completeness, currency conversion, suppression consent, refund, cancellation, shipment or external operation is authenticated or performed.</w:t>
      </w:r>
    </w:p>
    <w:p>
      <w:pPr>
        <w:pStyle w:val="Heading1"/>
      </w:pPr>
      <w:r>
        <w:t xml:space="preserve">Method and exact sources</w:t>
      </w:r>
    </w:p>
    <w:p>
      <w:r>
        <w:t xml:space="preserve">Method revision 2026-10-09.source-reconciliation.1.</w:t>
      </w:r>
    </w:p>
    <w:p>
      <w:r>
        <w:t xml:space="preserve">Match exact legal_id and jurisdiction pairs against the customer-selected entity master. Compare legal name and address without fuzzy matching. Preserve all contributing record types and versions. Duplicate master identities, conflicting source identities, unsupported record types and missing identifiers remain unresolved. A mechanical match is not proof that two parties are legally identical.</w:t>
      </w:r>
    </w:p>
    <w:p>
      <w:r>
        <w:t xml:space="preserve">Mechanical working results use exact supplied source populations and customer-approved rules. Originals remain unchanged in this browser. No identity, legal obligation, source completeness, currency conversion, suppression consent, refund, cancellation, shipment or external operation is authenticated or performed.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248"/>
        <w:gridCol w:w="3120"/>
        <w:gridCol w:w="998"/>
        <w:gridCol w:w="3994"/>
      </w:tblGrid>
      <w:tr>
        <w:trPr>
          <w:cantSplit/>
          <w:tblHeader/>
        </w:trPr>
        <w:tc>
          <w:tcPr>
            <w:tcW w:type="dxa" w:w="124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12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9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99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24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w:t>
            </w:r>
          </w:p>
        </w:tc>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fictional-primary.json</w:t>
            </w:r>
          </w:p>
        </w:tc>
        <w:tc>
          <w:tcPr>
            <w:tcW w:type="dxa" w:w="9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278</w:t>
            </w:r>
          </w:p>
        </w:tc>
        <w:tc>
          <w:tcPr>
            <w:tcW w:type="dxa" w:w="399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c418cf9915c2e9e115580c75a4ad05192578d1dc70212b15e82ceaf2d261f573</w:t>
            </w:r>
          </w:p>
        </w:tc>
      </w:tr>
      <w:tr>
        <w:trPr>
          <w:cantSplit/>
        </w:trPr>
        <w:tc>
          <w:tcPr>
            <w:tcW w:type="dxa" w:w="124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comparison</w:t>
            </w:r>
          </w:p>
        </w:tc>
        <w:tc>
          <w:tcPr>
            <w:tcW w:type="dxa" w:w="312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fictional-comparison.json</w:t>
            </w:r>
          </w:p>
        </w:tc>
        <w:tc>
          <w:tcPr>
            <w:tcW w:type="dxa" w:w="9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180</w:t>
            </w:r>
          </w:p>
        </w:tc>
        <w:tc>
          <w:tcPr>
            <w:tcW w:type="dxa" w:w="399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8b1c36c3b7cbc22f37fe6cfb4d9dd64b946fdbbcf6386d5939189e62c1b31f14</w:t>
            </w:r>
          </w:p>
        </w:tc>
      </w:tr>
    </w:tbl>
    <w:p>
      <w:pPr>
        <w:pStyle w:val="Heading1"/>
      </w:pPr>
      <w:r>
        <w:t xml:space="preserve">Frozen inputs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885"/>
        <w:gridCol w:w="5475"/>
      </w:tblGrid>
      <w:tr>
        <w:trPr>
          <w:cantSplit/>
          <w:tblHeader/>
        </w:trPr>
        <w:tc>
          <w:tcPr>
            <w:tcW w:type="dxa" w:w="388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47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88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 reference</w:t>
            </w:r>
          </w:p>
        </w:tc>
        <w:tc>
          <w:tcPr>
            <w:tcW w:type="dxa" w:w="547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 reference</w:t>
            </w:r>
          </w:p>
        </w:tc>
      </w:tr>
      <w:tr>
        <w:trPr>
          <w:cantSplit/>
        </w:trPr>
        <w:tc>
          <w:tcPr>
            <w:tcW w:type="dxa" w:w="388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 owner</w:t>
            </w:r>
          </w:p>
        </w:tc>
        <w:tc>
          <w:tcPr>
            <w:tcW w:type="dxa" w:w="547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 owner</w:t>
            </w:r>
          </w:p>
        </w:tc>
      </w:tr>
      <w:tr>
        <w:trPr>
          <w:cantSplit/>
        </w:trPr>
        <w:tc>
          <w:tcPr>
            <w:tcW w:type="dxa" w:w="388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 date</w:t>
            </w:r>
          </w:p>
        </w:tc>
        <w:tc>
          <w:tcPr>
            <w:tcW w:type="dxa" w:w="547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88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Selected source scope</w:t>
            </w:r>
          </w:p>
        </w:tc>
        <w:tc>
          <w:tcPr>
            <w:tcW w:type="dxa" w:w="547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Selected source scope</w:t>
            </w:r>
          </w:p>
        </w:tc>
      </w:tr>
      <w:tr>
        <w:trPr>
          <w:cantSplit/>
        </w:trPr>
        <w:tc>
          <w:tcPr>
            <w:tcW w:type="dxa" w:w="388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Population declaration</w:t>
            </w:r>
          </w:p>
        </w:tc>
        <w:tc>
          <w:tcPr>
            <w:tcW w:type="dxa" w:w="547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Selected records only</w:t>
            </w:r>
          </w:p>
        </w:tc>
      </w:tr>
    </w:tbl>
    <w:p>
      <w:pPr>
        <w:pStyle w:val="Heading1"/>
      </w:pPr>
      <w:r>
        <w:t xml:space="preserve">Review result</w:t>
      </w:r>
    </w:p>
    <w:p>
      <w:r>
        <w:t xml:space="preserve">6 findings across supplied source populations. 0 unresolved, conflicting, missing or different findings.</w:t>
      </w:r>
    </w:p>
    <w:p>
      <w:pPr>
        <w:pStyle w:val="ListParagraph"/>
        <w:numPr>
          <w:ilvl w:val="0"/>
          <w:numId w:val="1"/>
        </w:numPr>
      </w:pPr>
      <w:r>
        <w:t xml:space="preserve">Match exact legal_id and jurisdiction pairs against the customer-selected entity master. Compare legal name and address without fuzzy matching. Preserve all contributing record types and versions. Duplicate master identities, conflicting source identities, unsupported record types and missing identifiers remain unresolved. A mechanical match is not proof that two parties are legally identical.</w:t>
      </w:r>
    </w:p>
    <w:p>
      <w:pPr>
        <w:pStyle w:val="ListParagraph"/>
        <w:numPr>
          <w:ilvl w:val="0"/>
          <w:numId w:val="1"/>
        </w:numPr>
      </w:pPr>
      <w:r>
        <w:t xml:space="preserve">Complete source rows and original values remain retained. Working copies never overwrite source files.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Measure</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Findings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Retained</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r>
    </w:tbl>
    <w:p>
      <w:pPr>
        <w:pStyle w:val="Heading1"/>
      </w:pPr>
      <w:r>
        <w:t xml:space="preserve">Source-linked checks</w:t>
      </w:r>
    </w:p>
    <w:p>
      <w:r>
        <w:t xml:space="preserve">The formal report shows at most the first 100 named check rows and 400 characters per displayed field. Complete values, result columns, sources and output are retained in the Excel and JSON files.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086"/>
        <w:gridCol w:w="1054"/>
        <w:gridCol w:w="4220"/>
      </w:tblGrid>
      <w:tr>
        <w:trPr>
          <w:cantSplit/>
          <w:tblHeader/>
        </w:trPr>
        <w:tc>
          <w:tcPr>
            <w:tcW w:type="dxa" w:w="408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1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422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408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 / 2 / ["ID001","US"]</w:t>
            </w:r>
          </w:p>
        </w:tc>
        <w:tc>
          <w:tcPr>
            <w:tcW w:type="dxa" w:w="1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42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declared identity and compared fields match. This is not authenticated identity.</w:t>
            </w:r>
          </w:p>
        </w:tc>
      </w:tr>
      <w:tr>
        <w:trPr>
          <w:cantSplit/>
        </w:trPr>
        <w:tc>
          <w:tcPr>
            <w:tcW w:type="dxa" w:w="408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 / 3 / ["ID001","US"]</w:t>
            </w:r>
          </w:p>
        </w:tc>
        <w:tc>
          <w:tcPr>
            <w:tcW w:type="dxa" w:w="10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422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declared identity and compared fields match. This is not authenticated identity.</w:t>
            </w:r>
          </w:p>
        </w:tc>
      </w:tr>
      <w:tr>
        <w:trPr>
          <w:cantSplit/>
        </w:trPr>
        <w:tc>
          <w:tcPr>
            <w:tcW w:type="dxa" w:w="408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Comparison / 2 / ["ID001","US"]</w:t>
            </w:r>
          </w:p>
        </w:tc>
        <w:tc>
          <w:tcPr>
            <w:tcW w:type="dxa" w:w="1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42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declared identity and compared fields match. This is not authenticated identity.</w:t>
            </w:r>
          </w:p>
        </w:tc>
      </w:tr>
    </w:tbl>
    <w:p>
      <w:pPr>
        <w:pStyle w:val="Heading1"/>
      </w:pPr>
      <w:r>
        <w:t xml:space="preserve">Unresolved items and limitations</w:t>
      </w:r>
    </w:p>
    <w:p>
      <w:pPr>
        <w:pStyle w:val="ListParagraph"/>
        <w:numPr>
          <w:ilvl w:val="0"/>
          <w:numId w:val="1"/>
        </w:numPr>
      </w:pPr>
      <w:r>
        <w:t xml:space="preserve">Mechanical working results use exact supplied source populations and customer-approved rules. Originals remain unchanged in this browser. No identity, legal obligation, source completeness, currency conversion, suppression consent, refund, cancellation, shipment or external operation is authenticated or performed.</w:t>
      </w:r>
    </w:p>
    <w:p>
      <w:pPr>
        <w:pStyle w:val="Heading1"/>
        <w:keepNext/>
      </w:pPr>
      <w:r>
        <w:t xml:space="preserve">Limitations</w:t>
      </w:r>
    </w:p>
    <w:p>
      <w:pPr>
        <w:pStyle w:val="ListParagraph"/>
        <w:keepNext w:val="false"/>
        <w:keepLines/>
        <w:numPr>
          <w:ilvl w:val="0"/>
          <w:numId w:val="1"/>
        </w:numPr>
      </w:pPr>
      <w:r>
        <w:t xml:space="preserve">Mechanical working results use exact supplied source populations and customer-approved rules. Originals remain unchanged in this browser. No identity, legal obligation, source completeness, currency conversion, suppression consent, refund, cancellation, shipment or external operation is authenticated or performed.</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RFC Editor: Common Format and MIME Type for Comma-Separated Values Files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CSV mechanics only. This source supplies no customer schema, legal requirement, matching identity, population completeness, threshold or reconciliation rule.</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nc0loq1znf8lgft2kqys-">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20-legal-entity-reconciliation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nc0loq1znf8lgft2kqys-" Type="http://schemas.openxmlformats.org/officeDocument/2006/relationships/hyperlink" Target="https://www.rfc-editor.org/rfc/rfc4180"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Legal-entity reconciliation</dc:title>
  <dc:subject>Fictional sample. Requires tailoring and responsible review.</dc:subject>
  <dc:creator>Business Compliance Tools</dc:creator>
  <cp:keywords>compliance, evidence, us</cp:keywords>
  <dc:description>Legal-entity reconciliation</dc:description>
  <cp:lastModifiedBy>Business Compliance Tools</cp:lastModifiedBy>
  <cp:revision>1</cp:revision>
  <dcterms:created xsi:type="dcterms:W3CDTF">2026-10-09T00:21:00.114Z</dcterms:created>
  <dcterms:modified xsi:type="dcterms:W3CDTF">2026-10-09T00:21:00.114Z</dcterms:modified>
</cp:coreProperties>
</file>

<file path=docProps/custom.xml><?xml version="1.0" encoding="utf-8"?>
<Properties xmlns="http://schemas.openxmlformats.org/officeDocument/2006/custom-properties" xmlns:vt="http://schemas.openxmlformats.org/officeDocument/2006/docPropsVTypes"/>
</file>