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Transliteration and alias workbench</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Transliteration and alias workbench</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21-transliteration-and-alias-workbench</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Produce controlled transliteration and alias candidates from supplied mappings.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Keep the original name as one candidate. Apply scoped Character mappings left to right using longest source matches and no recursive substitution. Add exact whole-name Literal alias candidates separately. Preserve applied rule IDs, authority references and unmapped non-ASCII letters. Ambiguous character mappings remain unresolved and never become identity or screening decisions.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96</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9ed0cbdb5316243a682f762d8085a342164f3d67225407558485a8a87d447564</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339</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c48571f767f004e18044e88c005012e80a2a212cd805c2ccfecede8e8a853943</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12 findings across supplied source populations. 0 unresolved, conflicting, missing or different findings.</w:t>
      </w:r>
    </w:p>
    <w:p>
      <w:pPr>
        <w:pStyle w:val="ListParagraph"/>
        <w:numPr>
          <w:ilvl w:val="0"/>
          <w:numId w:val="1"/>
        </w:numPr>
      </w:pPr>
      <w:r>
        <w:t xml:space="preserve">Keep the original name as one candidate. Apply scoped Character mappings left to right using longest source matches and no recursive substitution. Add exact whole-name Literal alias candidates separately. Preserve applied rule IDs, authority references and unmapped non-ASCII letters. Ambiguous character mappings remain unresolved and never become identity or screening decisions.</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55"/>
        <w:gridCol w:w="4405"/>
      </w:tblGrid>
      <w:tr>
        <w:trPr>
          <w:cantSplit/>
          <w:tblHeader/>
        </w:trPr>
        <w:tc>
          <w:tcPr>
            <w:tcW w:type="dxa" w:w="49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r>
      <w:tr>
        <w:trPr>
          <w:cantSplit/>
        </w:trPr>
        <w:tc>
          <w:tcPr>
            <w:tcW w:type="dxa" w:w="49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49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4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49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w:t>
            </w:r>
          </w:p>
        </w:tc>
        <w:tc>
          <w:tcPr>
            <w:tcW w:type="dxa" w:w="4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9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w:t>
            </w:r>
          </w:p>
        </w:tc>
        <w:tc>
          <w:tcPr>
            <w:tcW w:type="dxa" w:w="4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82"/>
        <w:gridCol w:w="1531"/>
        <w:gridCol w:w="5447"/>
      </w:tblGrid>
      <w:tr>
        <w:trPr>
          <w:cantSplit/>
          <w:tblHeader/>
        </w:trPr>
        <w:tc>
          <w:tcPr>
            <w:tcW w:type="dxa" w:w="23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4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15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54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mapping needs an exact unique rule ID, supported kind, nonempty source/target, scope and authority reference.</w:t>
            </w:r>
          </w:p>
        </w:tc>
      </w:tr>
      <w:tr>
        <w:trPr>
          <w:cantSplit/>
        </w:trPr>
        <w:tc>
          <w:tcPr>
            <w:tcW w:type="dxa" w:w="23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w:t>
            </w:r>
          </w:p>
        </w:tc>
        <w:tc>
          <w:tcPr>
            <w:tcW w:type="dxa" w:w="15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54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mapping needs an exact unique rule ID, supported kind, nonempty source/target, scope and authority reference.</w:t>
            </w:r>
          </w:p>
        </w:tc>
      </w:tr>
      <w:tr>
        <w:trPr>
          <w:cantSplit/>
        </w:trPr>
        <w:tc>
          <w:tcPr>
            <w:tcW w:type="dxa" w:w="23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4</w:t>
            </w:r>
          </w:p>
        </w:tc>
        <w:tc>
          <w:tcPr>
            <w:tcW w:type="dxa" w:w="15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54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mapping needs an exact unique rule ID, supported kind, nonempty source/target, scope and authority reference.</w:t>
            </w:r>
          </w:p>
        </w:tc>
      </w:tr>
      <w:tr>
        <w:trPr>
          <w:cantSplit/>
        </w:trPr>
        <w:tc>
          <w:tcPr>
            <w:tcW w:type="dxa" w:w="23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5</w:t>
            </w:r>
          </w:p>
        </w:tc>
        <w:tc>
          <w:tcPr>
            <w:tcW w:type="dxa" w:w="15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54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mapping needs an exact unique rule ID, supported kind, nonempty source/target, scope and authority reference.</w:t>
            </w:r>
          </w:p>
        </w:tc>
      </w:tr>
      <w:tr>
        <w:trPr>
          <w:cantSplit/>
        </w:trPr>
        <w:tc>
          <w:tcPr>
            <w:tcW w:type="dxa" w:w="23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5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w:t>
            </w:r>
          </w:p>
        </w:tc>
        <w:tc>
          <w:tcPr>
            <w:tcW w:type="dxa" w:w="54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preserves the original identity and exact applied authority references. No screening or identity decision.</w:t>
            </w:r>
          </w:p>
        </w:tc>
      </w:tr>
      <w:tr>
        <w:trPr>
          <w:cantSplit/>
        </w:trPr>
        <w:tc>
          <w:tcPr>
            <w:tcW w:type="dxa" w:w="23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5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w:t>
            </w:r>
          </w:p>
        </w:tc>
        <w:tc>
          <w:tcPr>
            <w:tcW w:type="dxa" w:w="54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preserves the original identity and exact applied authority references. No screening or identity decision.</w:t>
            </w:r>
          </w:p>
        </w:tc>
      </w:tr>
      <w:tr>
        <w:trPr>
          <w:cantSplit/>
        </w:trPr>
        <w:tc>
          <w:tcPr>
            <w:tcW w:type="dxa" w:w="23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5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w:t>
            </w:r>
          </w:p>
        </w:tc>
        <w:tc>
          <w:tcPr>
            <w:tcW w:type="dxa" w:w="54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preserves the original identity and exact applied authority references. No screening or identity decision.</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k4jh8di1tnmvz7p7hlcj">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Unicode Consortium: Unicode Normalization Forms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explicitly selected Unicode name normalization only. It does not specify customer suffix rules, language transliteration, legal names or entity identity.</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joprgihfecxlfatu7qr1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21-transliteration-and-alias-workbench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k4jh8di1tnmvz7p7hlcj" Type="http://schemas.openxmlformats.org/officeDocument/2006/relationships/hyperlink" Target="https://www.rfc-editor.org/rfc/rfc4180" TargetMode="External"/><Relationship Id="rIdjoprgihfecxlfatu7qr14" Type="http://schemas.openxmlformats.org/officeDocument/2006/relationships/hyperlink" Target="https://www.unicode.org/reports/tr15/"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Transliteration and alias workbench</dc:title>
  <dc:subject>Fictional sample. Requires tailoring and responsible review.</dc:subject>
  <dc:creator>Business Compliance Tools</dc:creator>
  <cp:keywords>compliance, evidence, us</cp:keywords>
  <dc:description>Transliteration and alias workbench</dc:description>
  <cp:lastModifiedBy>Business Compliance Tools</cp:lastModifiedBy>
  <cp:revision>1</cp:revision>
  <dcterms:created xsi:type="dcterms:W3CDTF">2026-10-09T00:21:00.135Z</dcterms:created>
  <dcterms:modified xsi:type="dcterms:W3CDTF">2026-10-09T00:21:00.135Z</dcterms:modified>
</cp:coreProperties>
</file>

<file path=docProps/custom.xml><?xml version="1.0" encoding="utf-8"?>
<Properties xmlns="http://schemas.openxmlformats.org/officeDocument/2006/custom-properties" xmlns:vt="http://schemas.openxmlformats.org/officeDocument/2006/docPropsVTypes"/>
</file>