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Email suppression-list reconciler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Email suppression-list reconciler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32-email-suppression-list-reconciler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approved email suppression records with a proposed send population.</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supported ASCII addresses with lowercase domains and the selected local-part case rule. Apply Active suppression records only in their inclusive customer-selected effective dates and matching purpose or explicit All scope. Preserve released and inactive records. Produce an annotated working population and a separate clear-only candidate set. Unresolved addresses or contradictory active/released overlaps are excluded from the clear-only set. No consent or permission to send is inferred.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209</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b6883c47605e162fa80992b4ace981d8eceee8b212467e0f2c975f5dab7b378c</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170</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3c535d29fb64b1b1d948801e26d141f5b1f0e9e658a7059dfa623a69cae85ca9</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78"/>
        <w:gridCol w:w="5182"/>
      </w:tblGrid>
      <w:tr>
        <w:trPr>
          <w:cantSplit/>
          <w:tblHeader/>
        </w:trPr>
        <w:tc>
          <w:tcPr>
            <w:tcW w:type="dxa" w:w="41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1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1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1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1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1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1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1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1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1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1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1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1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Email local-part matching</w:t>
            </w:r>
          </w:p>
        </w:tc>
        <w:tc>
          <w:tcPr>
            <w:tcW w:type="dxa" w:w="51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w:t>
            </w:r>
          </w:p>
        </w:tc>
      </w:tr>
    </w:tbl>
    <w:p>
      <w:pPr>
        <w:pStyle w:val="Heading1"/>
      </w:pPr>
      <w:r>
        <w:t xml:space="preserve">Review result</w:t>
      </w:r>
    </w:p>
    <w:p>
      <w:r>
        <w:t xml:space="preserve">5 findings across supplied source populations. 0 unresolved, conflicting, missing or different findings.</w:t>
      </w:r>
    </w:p>
    <w:p>
      <w:pPr>
        <w:pStyle w:val="ListParagraph"/>
        <w:numPr>
          <w:ilvl w:val="0"/>
          <w:numId w:val="1"/>
        </w:numPr>
      </w:pPr>
      <w:r>
        <w:t xml:space="preserve">Match supported ASCII addresses with lowercase domains and the selected local-part case rule. Apply Active suppression records only in their inclusive customer-selected effective dates and matching purpose or explicit All scope. Preserve released and inactive records. Produce an annotated working population and a separate clear-only candidate set. Unresolved addresses or contradictory active/released overlaps are excluded from the clear-only set. No consent or permission to send is inferred.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389"/>
        <w:gridCol w:w="1971"/>
      </w:tblGrid>
      <w:tr>
        <w:trPr>
          <w:cantSplit/>
          <w:tblHeader/>
        </w:trPr>
        <w:tc>
          <w:tcPr>
            <w:tcW w:type="dxa" w:w="738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9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738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Suppressed</w:t>
            </w:r>
          </w:p>
        </w:tc>
        <w:tc>
          <w:tcPr>
            <w:tcW w:type="dxa" w:w="19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38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supplied active suppression</w:t>
            </w:r>
          </w:p>
        </w:tc>
        <w:tc>
          <w:tcPr>
            <w:tcW w:type="dxa" w:w="19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410"/>
        <w:gridCol w:w="3846"/>
        <w:gridCol w:w="4104"/>
      </w:tblGrid>
      <w:tr>
        <w:trPr>
          <w:cantSplit/>
          <w:tblHeader/>
        </w:trPr>
        <w:tc>
          <w:tcPr>
            <w:tcW w:type="dxa" w:w="14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8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4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38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Suppressed</w:t>
            </w:r>
          </w:p>
        </w:tc>
        <w:tc>
          <w:tcPr>
            <w:tcW w:type="dxa" w:w="41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 applicable approved suppression record covers the scheduled UTC date.</w:t>
            </w:r>
          </w:p>
        </w:tc>
      </w:tr>
      <w:tr>
        <w:trPr>
          <w:cantSplit/>
        </w:trPr>
        <w:tc>
          <w:tcPr>
            <w:tcW w:type="dxa" w:w="14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38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supplied active suppression</w:t>
            </w:r>
          </w:p>
        </w:tc>
        <w:tc>
          <w:tcPr>
            <w:tcW w:type="dxa" w:w="41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applicable supplied active suppression. This does not establish consent or permission to send.</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cefswvrpaawqzyjhjijd">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supported timestamp syntax and explicit-offset conversion only. This implementation rejects leap seconds and more than three fractional digits rather than claiming full RFC coverage. No daylight saving, legal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mmhp1xmhytkjhncsluah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32-email-suppression-list-reconciler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cefswvrpaawqzyjhjijd" Type="http://schemas.openxmlformats.org/officeDocument/2006/relationships/hyperlink" Target="https://www.rfc-editor.org/rfc/rfc4180" TargetMode="External"/><Relationship Id="rIdmmhp1xmhytkjhncsluahf"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suppression-list reconciler</dc:title>
  <dc:subject>Fictional sample. Requires tailoring and responsible review.</dc:subject>
  <dc:creator>Business Compliance Tools</dc:creator>
  <cp:keywords>compliance, evidence, us</cp:keywords>
  <dc:description>Email suppression-list reconciler</dc:description>
  <cp:lastModifiedBy>Business Compliance Tools</cp:lastModifiedBy>
  <cp:revision>1</cp:revision>
  <dcterms:created xsi:type="dcterms:W3CDTF">2026-10-09T00:21:00.302Z</dcterms:created>
  <dcterms:modified xsi:type="dcterms:W3CDTF">2026-10-09T00:21:00.302Z</dcterms:modified>
</cp:coreProperties>
</file>

<file path=docProps/custom.xml><?xml version="1.0" encoding="utf-8"?>
<Properties xmlns="http://schemas.openxmlformats.org/officeDocument/2006/custom-properties" xmlns:vt="http://schemas.openxmlformats.org/officeDocument/2006/docPropsVTypes"/>
</file>