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20" w:before="100"/>
      </w:pPr>
      <w:r>
        <w:rPr>
          <w:rFonts w:ascii="Times New Roman" w:cs="Times New Roman" w:eastAsia="Times New Roman" w:hAnsi="Times New Roman"/>
          <w:b/>
          <w:bCs/>
          <w:color w:val="595959"/>
          <w:sz w:val="18"/>
          <w:szCs w:val="18"/>
        </w:rPr>
        <w:t xml:space="preserve">COMPLIANCE WORKING RECORD</w:t>
      </w:r>
    </w:p>
    <w:p>
      <w:pPr>
        <w:spacing w:after="100" w:line="500"/>
      </w:pPr>
      <w:r>
        <w:rPr>
          <w:rFonts w:ascii="Times New Roman" w:cs="Times New Roman" w:eastAsia="Times New Roman" w:hAnsi="Times New Roman"/>
          <w:b/>
          <w:bCs/>
          <w:color w:val="1F1F1F"/>
          <w:sz w:val="40"/>
          <w:szCs w:val="40"/>
        </w:rPr>
        <w:t xml:space="preserve">Northbank Accountancy Ltd: business-wide AML risk assessment</w:t>
      </w:r>
    </w:p>
    <w:p>
      <w:pPr>
        <w:spacing w:after="320" w:line="340"/>
      </w:pP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Accountancy service provider. Rule pack 2026-07-31.1. Sources reviewed 31 July 2026.</w:t>
      </w:r>
    </w:p>
    <w:p>
      <w:pPr>
        <w:pStyle w:val="Heading2"/>
      </w:pPr>
      <w:r>
        <w:t xml:space="preserve">Document control</w:t>
      </w:r>
    </w:p>
    <w:tbl>
      <w:tblPr>
        <w:tblW w:type="dxa" w:w="9026"/>
        <w:tblInd w:type="dxa" w:w="120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D9D9D9" w:sz="2"/>
          <w:insideV w:val="single" w:color="D9D9D9" w:sz="2"/>
        </w:tblBorders>
        <w:tblLayout w:type="fixed"/>
      </w:tblPr>
      <w:tblGrid>
        <w:gridCol w:w="3456"/>
        <w:gridCol w:w="5570"/>
      </w:tblGrid>
      <w:tr>
        <w:trPr>
          <w:cantSplit/>
          <w:tblHeader/>
        </w:trPr>
        <w:tc>
          <w:tcPr>
            <w:tcW w:type="dxa" w:w="3456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Field</w:t>
            </w:r>
          </w:p>
        </w:tc>
        <w:tc>
          <w:tcPr>
            <w:tcW w:type="dxa" w:w="5570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Value</w:t>
            </w:r>
          </w:p>
        </w:tc>
      </w:tr>
      <w:tr>
        <w:trPr>
          <w:cantSplit/>
        </w:trPr>
        <w:tc>
          <w:tcPr>
            <w:tcW w:type="dxa" w:w="345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Organisation</w:t>
            </w:r>
          </w:p>
        </w:tc>
        <w:tc>
          <w:tcPr>
            <w:tcW w:type="dxa" w:w="557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Northbank Accountancy Ltd</w:t>
            </w:r>
          </w:p>
        </w:tc>
      </w:tr>
      <w:tr>
        <w:trPr>
          <w:cantSplit/>
        </w:trPr>
        <w:tc>
          <w:tcPr>
            <w:tcW w:type="dxa" w:w="3456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Document type</w:t>
            </w:r>
          </w:p>
        </w:tc>
        <w:tc>
          <w:tcPr>
            <w:tcW w:type="dxa" w:w="5570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Business-wide risk assessment</w:t>
            </w:r>
          </w:p>
        </w:tc>
      </w:tr>
      <w:tr>
        <w:trPr>
          <w:cantSplit/>
        </w:trPr>
        <w:tc>
          <w:tcPr>
            <w:tcW w:type="dxa" w:w="345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Document reference</w:t>
            </w:r>
          </w:p>
        </w:tc>
        <w:tc>
          <w:tcPr>
            <w:tcW w:type="dxa" w:w="557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AML-ACCOUNTANCY-TAX-20260731</w:t>
            </w:r>
          </w:p>
        </w:tc>
      </w:tr>
      <w:tr>
        <w:trPr>
          <w:cantSplit/>
        </w:trPr>
        <w:tc>
          <w:tcPr>
            <w:tcW w:type="dxa" w:w="3456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Jurisdiction</w:t>
            </w:r>
          </w:p>
        </w:tc>
        <w:tc>
          <w:tcPr>
            <w:tcW w:type="dxa" w:w="5570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United Kingdom</w:t>
            </w:r>
          </w:p>
        </w:tc>
      </w:tr>
      <w:tr>
        <w:trPr>
          <w:cantSplit/>
        </w:trPr>
        <w:tc>
          <w:tcPr>
            <w:tcW w:type="dxa" w:w="345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Version</w:t>
            </w:r>
          </w:p>
        </w:tc>
        <w:tc>
          <w:tcPr>
            <w:tcW w:type="dxa" w:w="557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2026-07-31.1</w:t>
            </w:r>
          </w:p>
        </w:tc>
      </w:tr>
      <w:tr>
        <w:trPr>
          <w:cantSplit/>
        </w:trPr>
        <w:tc>
          <w:tcPr>
            <w:tcW w:type="dxa" w:w="3456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Status</w:t>
            </w:r>
          </w:p>
        </w:tc>
        <w:tc>
          <w:tcPr>
            <w:tcW w:type="dxa" w:w="5570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Ready for human approval</w:t>
            </w:r>
          </w:p>
        </w:tc>
      </w:tr>
      <w:tr>
        <w:trPr>
          <w:cantSplit/>
        </w:trPr>
        <w:tc>
          <w:tcPr>
            <w:tcW w:type="dxa" w:w="345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Classification</w:t>
            </w:r>
          </w:p>
        </w:tc>
        <w:tc>
          <w:tcPr>
            <w:tcW w:type="dxa" w:w="557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Sample document</w:t>
            </w:r>
          </w:p>
        </w:tc>
      </w:tr>
      <w:tr>
        <w:trPr>
          <w:cantSplit/>
        </w:trPr>
        <w:tc>
          <w:tcPr>
            <w:tcW w:type="dxa" w:w="3456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Prepared by</w:t>
            </w:r>
          </w:p>
        </w:tc>
        <w:tc>
          <w:tcPr>
            <w:tcW w:type="dxa" w:w="5570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Head of compliance</w:t>
            </w:r>
          </w:p>
        </w:tc>
      </w:tr>
      <w:tr>
        <w:trPr>
          <w:cantSplit/>
        </w:trPr>
        <w:tc>
          <w:tcPr>
            <w:tcW w:type="dxa" w:w="345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Prepared on</w:t>
            </w:r>
          </w:p>
        </w:tc>
        <w:tc>
          <w:tcPr>
            <w:tcW w:type="dxa" w:w="557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</w:tr>
      <w:tr>
        <w:trPr>
          <w:cantSplit/>
        </w:trPr>
        <w:tc>
          <w:tcPr>
            <w:tcW w:type="dxa" w:w="3456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Rule pack</w:t>
            </w:r>
          </w:p>
        </w:tc>
        <w:tc>
          <w:tcPr>
            <w:tcW w:type="dxa" w:w="5570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2026-07-31.1</w:t>
            </w:r>
          </w:p>
        </w:tc>
      </w:tr>
      <w:tr>
        <w:trPr>
          <w:cantSplit/>
        </w:trPr>
        <w:tc>
          <w:tcPr>
            <w:tcW w:type="dxa" w:w="345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Sources reviewed</w:t>
            </w:r>
          </w:p>
        </w:tc>
        <w:tc>
          <w:tcPr>
            <w:tcW w:type="dxa" w:w="557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</w:tr>
      <w:tr>
        <w:trPr>
          <w:cantSplit/>
        </w:trPr>
        <w:tc>
          <w:tcPr>
            <w:tcW w:type="dxa" w:w="3456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Generated</w:t>
            </w:r>
          </w:p>
        </w:tc>
        <w:tc>
          <w:tcPr>
            <w:tcW w:type="dxa" w:w="5570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7 August 2026</w:t>
            </w:r>
          </w:p>
        </w:tc>
      </w:tr>
    </w:tbl>
    <w:p>
      <w:pPr>
        <w:pStyle w:val="Heading1"/>
        <w:pageBreakBefore/>
      </w:pPr>
      <w:r>
        <w:t xml:space="preserve">Review and approval record</w:t>
      </w:r>
    </w:p>
    <w:tbl>
      <w:tblPr>
        <w:tblW w:type="dxa" w:w="9026"/>
        <w:tblInd w:type="dxa" w:w="120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D9D9D9" w:sz="2"/>
          <w:insideV w:val="single" w:color="D9D9D9" w:sz="2"/>
        </w:tblBorders>
        <w:tblLayout w:type="fixed"/>
      </w:tblPr>
      <w:tblGrid>
        <w:gridCol w:w="4316"/>
        <w:gridCol w:w="4710"/>
      </w:tblGrid>
      <w:tr>
        <w:trPr>
          <w:cantSplit/>
          <w:tblHeader/>
        </w:trPr>
        <w:tc>
          <w:tcPr>
            <w:tcW w:type="dxa" w:w="4316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Field</w:t>
            </w:r>
          </w:p>
        </w:tc>
        <w:tc>
          <w:tcPr>
            <w:tcW w:type="dxa" w:w="4710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Value</w:t>
            </w:r>
          </w:p>
        </w:tc>
      </w:tr>
      <w:tr>
        <w:trPr>
          <w:cantSplit/>
        </w:trPr>
        <w:tc>
          <w:tcPr>
            <w:tcW w:type="dxa" w:w="431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Owner</w:t>
            </w:r>
          </w:p>
        </w:tc>
        <w:tc>
          <w:tcPr>
            <w:tcW w:type="dxa" w:w="471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Head of compliance</w:t>
            </w:r>
          </w:p>
        </w:tc>
      </w:tr>
      <w:tr>
        <w:trPr>
          <w:cantSplit/>
        </w:trPr>
        <w:tc>
          <w:tcPr>
            <w:tcW w:type="dxa" w:w="4316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Proposed approver</w:t>
            </w:r>
          </w:p>
        </w:tc>
        <w:tc>
          <w:tcPr>
            <w:tcW w:type="dxa" w:w="4710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Managing director</w:t>
            </w:r>
          </w:p>
        </w:tc>
      </w:tr>
      <w:tr>
        <w:trPr>
          <w:cantSplit/>
        </w:trPr>
        <w:tc>
          <w:tcPr>
            <w:tcW w:type="dxa" w:w="431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Review date</w:t>
            </w:r>
          </w:p>
        </w:tc>
        <w:tc>
          <w:tcPr>
            <w:tcW w:type="dxa" w:w="471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</w:tr>
      <w:tr>
        <w:trPr>
          <w:cantSplit/>
        </w:trPr>
        <w:tc>
          <w:tcPr>
            <w:tcW w:type="dxa" w:w="4316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Supervisor</w:t>
            </w:r>
          </w:p>
        </w:tc>
        <w:tc>
          <w:tcPr>
            <w:tcW w:type="dxa" w:w="4710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HM Revenue &amp; Customs</w:t>
            </w:r>
          </w:p>
        </w:tc>
      </w:tr>
      <w:tr>
        <w:trPr>
          <w:cantSplit/>
        </w:trPr>
        <w:tc>
          <w:tcPr>
            <w:tcW w:type="dxa" w:w="431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Registration reference</w:t>
            </w:r>
          </w:p>
        </w:tc>
        <w:tc>
          <w:tcPr>
            <w:tcW w:type="dxa" w:w="471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SAMPLE-ASP-001</w:t>
            </w:r>
          </w:p>
        </w:tc>
      </w:tr>
      <w:tr>
        <w:trPr>
          <w:cantSplit/>
        </w:trPr>
        <w:tc>
          <w:tcPr>
            <w:tcW w:type="dxa" w:w="4316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Status</w:t>
            </w:r>
          </w:p>
        </w:tc>
        <w:tc>
          <w:tcPr>
            <w:tcW w:type="dxa" w:w="4710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Ready for human approval</w:t>
            </w:r>
          </w:p>
        </w:tc>
      </w:tr>
    </w:tbl>
    <w:p>
      <w:pPr>
        <w:pStyle w:val="Heading1"/>
      </w:pPr>
      <w:r>
        <w:t xml:space="preserve">Business context</w:t>
      </w:r>
    </w:p>
    <w:tbl>
      <w:tblPr>
        <w:tblW w:type="dxa" w:w="9026"/>
        <w:tblInd w:type="dxa" w:w="120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D9D9D9" w:sz="2"/>
          <w:insideV w:val="single" w:color="D9D9D9" w:sz="2"/>
        </w:tblBorders>
        <w:tblLayout w:type="fixed"/>
      </w:tblPr>
      <w:tblGrid>
        <w:gridCol w:w="3362"/>
        <w:gridCol w:w="5664"/>
      </w:tblGrid>
      <w:tr>
        <w:trPr>
          <w:cantSplit/>
          <w:tblHeader/>
        </w:trPr>
        <w:tc>
          <w:tcPr>
            <w:tcW w:type="dxa" w:w="3362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Field</w:t>
            </w:r>
          </w:p>
        </w:tc>
        <w:tc>
          <w:tcPr>
            <w:tcW w:type="dxa" w:w="5664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Value</w:t>
            </w:r>
          </w:p>
        </w:tc>
      </w:tr>
      <w:tr>
        <w:trPr>
          <w:cantSplit/>
        </w:trPr>
        <w:tc>
          <w:tcPr>
            <w:tcW w:type="dxa" w:w="336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Trading name</w:t>
            </w:r>
          </w:p>
        </w:tc>
        <w:tc>
          <w:tcPr>
            <w:tcW w:type="dxa" w:w="5664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Northbank Accountancy Ltd</w:t>
            </w:r>
          </w:p>
        </w:tc>
      </w:tr>
      <w:tr>
        <w:trPr>
          <w:cantSplit/>
        </w:trPr>
        <w:tc>
          <w:tcPr>
            <w:tcW w:type="dxa" w:w="3362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Locations</w:t>
            </w:r>
          </w:p>
        </w:tc>
        <w:tc>
          <w:tcPr>
            <w:tcW w:type="dxa" w:w="5664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Bristol office with remote delivery across England and Wales</w:t>
            </w:r>
          </w:p>
        </w:tc>
      </w:tr>
      <w:tr>
        <w:trPr>
          <w:cantSplit/>
        </w:trPr>
        <w:tc>
          <w:tcPr>
            <w:tcW w:type="dxa" w:w="336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Customer types</w:t>
            </w:r>
          </w:p>
        </w:tc>
        <w:tc>
          <w:tcPr>
            <w:tcW w:type="dxa" w:w="5664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Owner-managed companies, sole traders, partnerships and six family trusts</w:t>
            </w:r>
          </w:p>
        </w:tc>
      </w:tr>
      <w:tr>
        <w:trPr>
          <w:cantSplit/>
        </w:trPr>
        <w:tc>
          <w:tcPr>
            <w:tcW w:type="dxa" w:w="3362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Geographic exposure</w:t>
            </w:r>
          </w:p>
        </w:tc>
        <w:tc>
          <w:tcPr>
            <w:tcW w:type="dxa" w:w="5664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Primarily United Kingdom, with 11 clients whose beneficial owners live overseas</w:t>
            </w:r>
          </w:p>
        </w:tc>
      </w:tr>
      <w:tr>
        <w:trPr>
          <w:cantSplit/>
        </w:trPr>
        <w:tc>
          <w:tcPr>
            <w:tcW w:type="dxa" w:w="336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Delivery channels</w:t>
            </w:r>
          </w:p>
        </w:tc>
        <w:tc>
          <w:tcPr>
            <w:tcW w:type="dxa" w:w="5664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Face to face, secure client portal and scheduled video meetings</w:t>
            </w:r>
          </w:p>
        </w:tc>
      </w:tr>
    </w:tbl>
    <w:p>
      <w:pPr>
        <w:pStyle w:val="Heading1"/>
      </w:pPr>
      <w:r>
        <w:t xml:space="preserve">Accountancy and tax operating facts</w:t>
      </w:r>
    </w:p>
    <w:tbl>
      <w:tblPr>
        <w:tblW w:type="dxa" w:w="9026"/>
        <w:tblInd w:type="dxa" w:w="120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D9D9D9" w:sz="2"/>
          <w:insideV w:val="single" w:color="D9D9D9" w:sz="2"/>
        </w:tblBorders>
        <w:tblLayout w:type="fixed"/>
      </w:tblPr>
      <w:tblGrid>
        <w:gridCol w:w="3008"/>
        <w:gridCol w:w="3008"/>
        <w:gridCol w:w="3010"/>
      </w:tblGrid>
      <w:tr>
        <w:trPr>
          <w:cantSplit/>
          <w:tblHeader/>
        </w:trPr>
        <w:tc>
          <w:tcPr>
            <w:tcW w:type="dxa" w:w="3008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Operating fact</w:t>
            </w:r>
          </w:p>
        </w:tc>
        <w:tc>
          <w:tcPr>
            <w:tcW w:type="dxa" w:w="3008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Business answer</w:t>
            </w:r>
          </w:p>
        </w:tc>
        <w:tc>
          <w:tcPr>
            <w:tcW w:type="dxa" w:w="3010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Why it is recorded</w:t>
            </w:r>
          </w:p>
        </w:tc>
      </w:tr>
      <w:tr>
        <w:trPr>
          <w:cantSplit/>
        </w:trPr>
        <w:tc>
          <w:tcPr>
            <w:tcW w:type="dxa" w:w="300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Service profile and annual volume</w:t>
            </w:r>
          </w:p>
        </w:tc>
        <w:tc>
          <w:tcPr>
            <w:tcW w:type="dxa" w:w="300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146 active owner-managed businesses, 38 sole traders and 22 tax-only clients. Typical annual fees range from £2,000 to £12,000.</w:t>
            </w:r>
          </w:p>
        </w:tc>
        <w:tc>
          <w:tcPr>
            <w:tcW w:type="dxa" w:w="301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Record the material regulated services, approximate number of active clients and typical engagement size.</w:t>
            </w:r>
          </w:p>
        </w:tc>
      </w:tr>
      <w:tr>
        <w:trPr>
          <w:cantSplit/>
        </w:trPr>
        <w:tc>
          <w:tcPr>
            <w:tcW w:type="dxa" w:w="300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Outsourcing and referral arrangements</w:t>
            </w:r>
          </w:p>
        </w:tc>
        <w:tc>
          <w:tcPr>
            <w:tcW w:type="dxa" w:w="300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A UK payroll bureau and a cloud bookkeeping platform support delivery. No overseas subcontractors are used, and referrals are not relied on for customer due diligence.</w:t>
            </w:r>
          </w:p>
        </w:tc>
        <w:tc>
          <w:tcPr>
            <w:tcW w:type="dxa" w:w="3010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Identify subcontractors, overseas teams, introducers and reliance arrangements that affect the control environment.</w:t>
            </w:r>
          </w:p>
        </w:tc>
      </w:tr>
      <w:tr>
        <w:trPr>
          <w:cantSplit/>
        </w:trPr>
        <w:tc>
          <w:tcPr>
            <w:tcW w:type="dxa" w:w="300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Client money and payment involvement</w:t>
            </w:r>
          </w:p>
        </w:tc>
        <w:tc>
          <w:tcPr>
            <w:tcW w:type="dxa" w:w="300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The practice does not hold client money or initiate payments. Tax repayment instructions are confirmed with the named client through the secure portal.</w:t>
            </w:r>
          </w:p>
        </w:tc>
        <w:tc>
          <w:tcPr>
            <w:tcW w:type="dxa" w:w="301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Describe whether the practice handles client money, initiates payments or controls tax repayments.</w:t>
            </w:r>
          </w:p>
        </w:tc>
      </w:tr>
      <w:tr>
        <w:trPr>
          <w:cantSplit/>
        </w:trPr>
        <w:tc>
          <w:tcPr>
            <w:tcW w:type="dxa" w:w="300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Higher-risk work profile</w:t>
            </w:r>
          </w:p>
        </w:tc>
        <w:tc>
          <w:tcPr>
            <w:tcW w:type="dxa" w:w="300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The current higher-risk population includes six trusts, 11 overseas beneficial owners and 14 repayment claims in the last year. The practice does not provide insolvency or company-formation services.</w:t>
            </w:r>
          </w:p>
        </w:tc>
        <w:tc>
          <w:tcPr>
            <w:tcW w:type="dxa" w:w="3010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Record material exposure to insolvency, trusts, complex ownership, overseas clients or tax repayment work.</w:t>
            </w:r>
          </w:p>
        </w:tc>
      </w:tr>
    </w:tbl>
    <w:p>
      <w:pPr>
        <w:pStyle w:val="Heading1"/>
      </w:pPr>
      <w:r>
        <w:t xml:space="preserve">Activities assessed</w:t>
      </w:r>
    </w:p>
    <w:p>
      <w:pPr>
        <w:pStyle w:val="ListParagraph"/>
        <w:numPr>
          <w:ilvl w:val="0"/>
          <w:numId w:val="1"/>
        </w:numPr>
      </w:pPr>
      <w:r>
        <w:t xml:space="preserve">Bookkeeping</w:t>
      </w:r>
    </w:p>
    <w:p>
      <w:pPr>
        <w:pStyle w:val="ListParagraph"/>
        <w:numPr>
          <w:ilvl w:val="0"/>
          <w:numId w:val="1"/>
        </w:numPr>
      </w:pPr>
      <w:r>
        <w:t xml:space="preserve">Accounts preparation</w:t>
      </w:r>
    </w:p>
    <w:p>
      <w:pPr>
        <w:pStyle w:val="ListParagraph"/>
        <w:numPr>
          <w:ilvl w:val="0"/>
          <w:numId w:val="1"/>
        </w:numPr>
      </w:pPr>
      <w:r>
        <w:t xml:space="preserve">Tax advice or returns</w:t>
      </w:r>
    </w:p>
    <w:p>
      <w:pPr>
        <w:pStyle w:val="ListParagraph"/>
        <w:numPr>
          <w:ilvl w:val="0"/>
          <w:numId w:val="1"/>
        </w:numPr>
      </w:pPr>
      <w:r>
        <w:t xml:space="preserve">Payroll services</w:t>
      </w:r>
    </w:p>
    <w:p>
      <w:pPr>
        <w:pStyle w:val="Heading1"/>
      </w:pPr>
      <w:r>
        <w:t xml:space="preserve">Sector risks</w:t>
      </w:r>
    </w:p>
    <w:tbl>
      <w:tblPr>
        <w:tblW w:type="dxa" w:w="9026"/>
        <w:tblInd w:type="dxa" w:w="120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D9D9D9" w:sz="2"/>
          <w:insideV w:val="single" w:color="D9D9D9" w:sz="2"/>
        </w:tblBorders>
        <w:tblLayout w:type="fixed"/>
      </w:tblPr>
      <w:tblGrid>
        <w:gridCol w:w="2511"/>
        <w:gridCol w:w="1491"/>
        <w:gridCol w:w="2511"/>
        <w:gridCol w:w="2513"/>
      </w:tblGrid>
      <w:tr>
        <w:trPr>
          <w:cantSplit/>
          <w:tblHeader/>
        </w:trPr>
        <w:tc>
          <w:tcPr>
            <w:tcW w:type="dxa" w:w="2511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Risk</w:t>
            </w:r>
          </w:p>
        </w:tc>
        <w:tc>
          <w:tcPr>
            <w:tcW w:type="dxa" w:w="1491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Assessed risk level</w:t>
            </w:r>
          </w:p>
        </w:tc>
        <w:tc>
          <w:tcPr>
            <w:tcW w:type="dxa" w:w="2511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Business evidence or reasoning</w:t>
            </w:r>
          </w:p>
        </w:tc>
        <w:tc>
          <w:tcPr>
            <w:tcW w:type="dxa" w:w="2513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Review question</w:t>
            </w:r>
          </w:p>
        </w:tc>
      </w:tr>
      <w:tr>
        <w:trPr>
          <w:cantSplit/>
        </w:trPr>
        <w:tc>
          <w:tcPr>
            <w:tcW w:type="dxa" w:w="251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Incomplete or manipulated records</w:t>
            </w:r>
          </w:p>
        </w:tc>
        <w:tc>
          <w:tcPr>
            <w:tcW w:type="dxa" w:w="149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medium</w:t>
            </w:r>
          </w:p>
        </w:tc>
        <w:tc>
          <w:tcPr>
            <w:tcW w:type="dxa" w:w="251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Bookkeeping records sometimes arrive through several systems. The engagement team reconciles material entries to source records and escalates unexplained adjustments before accounts are finalised.</w:t>
            </w:r>
          </w:p>
        </w:tc>
        <w:tc>
          <w:tcPr>
            <w:tcW w:type="dxa" w:w="2513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Could false invoices, incomplete books or unexplained adjustments conceal criminal property?</w:t>
            </w:r>
          </w:p>
        </w:tc>
      </w:tr>
      <w:tr>
        <w:trPr>
          <w:cantSplit/>
        </w:trPr>
        <w:tc>
          <w:tcPr>
            <w:tcW w:type="dxa" w:w="2511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Tax repayment and refund fraud</w:t>
            </w:r>
          </w:p>
        </w:tc>
        <w:tc>
          <w:tcPr>
            <w:tcW w:type="dxa" w:w="1491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medium</w:t>
            </w:r>
          </w:p>
        </w:tc>
        <w:tc>
          <w:tcPr>
            <w:tcW w:type="dxa" w:w="2511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The practice prepared 14 repayment claims in the last year. Authority and supporting evidence are checked, and higher-value claims receive a second-person review.</w:t>
            </w:r>
          </w:p>
        </w:tc>
        <w:tc>
          <w:tcPr>
            <w:tcW w:type="dxa" w:w="2513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Could the service be used to make a false repayment or relief claim?</w:t>
            </w:r>
          </w:p>
        </w:tc>
      </w:tr>
      <w:tr>
        <w:trPr>
          <w:cantSplit/>
        </w:trPr>
        <w:tc>
          <w:tcPr>
            <w:tcW w:type="dxa" w:w="251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Cash-intensive or opaque customers</w:t>
            </w:r>
          </w:p>
        </w:tc>
        <w:tc>
          <w:tcPr>
            <w:tcW w:type="dxa" w:w="149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low</w:t>
            </w:r>
          </w:p>
        </w:tc>
        <w:tc>
          <w:tcPr>
            <w:tcW w:type="dxa" w:w="251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Most customers receive income by bank transfer and the practice does not handle cash. Cash-intensive clients are accepted only after the business model and beneficial ownership are documented.</w:t>
            </w:r>
          </w:p>
        </w:tc>
        <w:tc>
          <w:tcPr>
            <w:tcW w:type="dxa" w:w="2513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Are customers exposed to large cash volumes, opaque ownership or unexplained third-party funds?</w:t>
            </w:r>
          </w:p>
        </w:tc>
      </w:tr>
      <w:tr>
        <w:trPr>
          <w:cantSplit/>
        </w:trPr>
        <w:tc>
          <w:tcPr>
            <w:tcW w:type="dxa" w:w="2511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Insolvency and financial distress</w:t>
            </w:r>
          </w:p>
        </w:tc>
        <w:tc>
          <w:tcPr>
            <w:tcW w:type="dxa" w:w="1491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low</w:t>
            </w:r>
          </w:p>
        </w:tc>
        <w:tc>
          <w:tcPr>
            <w:tcW w:type="dxa" w:w="2511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The practice does not provide insolvency services. Financial distress is considered when records indicate asset transfers, creditor pressure or rapid company changes.</w:t>
            </w:r>
          </w:p>
        </w:tc>
        <w:tc>
          <w:tcPr>
            <w:tcW w:type="dxa" w:w="2513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Could asset dissipation, phoenix activity or creditor evasion be present?</w:t>
            </w:r>
          </w:p>
        </w:tc>
      </w:tr>
      <w:tr>
        <w:trPr>
          <w:cantSplit/>
        </w:trPr>
        <w:tc>
          <w:tcPr>
            <w:tcW w:type="dxa" w:w="251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Company and trust service overlap</w:t>
            </w:r>
          </w:p>
        </w:tc>
        <w:tc>
          <w:tcPr>
            <w:tcW w:type="dxa" w:w="149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low</w:t>
            </w:r>
          </w:p>
        </w:tc>
        <w:tc>
          <w:tcPr>
            <w:tcW w:type="dxa" w:w="251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Company formation and registered-office services are not offered. Any request for these services is referred to the AML framework owner for a scope decision.</w:t>
            </w:r>
          </w:p>
        </w:tc>
        <w:tc>
          <w:tcPr>
            <w:tcW w:type="dxa" w:w="2513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Does the business form, administer or provide addresses, officers or nominees to entities?</w:t>
            </w:r>
          </w:p>
        </w:tc>
      </w:tr>
      <w:tr>
        <w:trPr>
          <w:cantSplit/>
        </w:trPr>
        <w:tc>
          <w:tcPr>
            <w:tcW w:type="dxa" w:w="2511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Remote and overseas instructions</w:t>
            </w:r>
          </w:p>
        </w:tc>
        <w:tc>
          <w:tcPr>
            <w:tcW w:type="dxa" w:w="1491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medium</w:t>
            </w:r>
          </w:p>
        </w:tc>
        <w:tc>
          <w:tcPr>
            <w:tcW w:type="dxa" w:w="2511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Eleven clients have overseas beneficial owners. Country-risk sources, authority and ownership evidence are recorded, with unresolved intermediaries escalated before work starts.</w:t>
            </w:r>
          </w:p>
        </w:tc>
        <w:tc>
          <w:tcPr>
            <w:tcW w:type="dxa" w:w="2513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Could remote delivery or overseas ownership make identity, authority or purpose harder to establish?</w:t>
            </w:r>
          </w:p>
        </w:tc>
      </w:tr>
    </w:tbl>
    <w:p>
      <w:pPr>
        <w:spacing w:after="80"/>
      </w:pPr>
    </w:p>
    <w:tbl>
      <w:tblPr>
        <w:tblW w:type="dxa" w:w="9026"/>
        <w:tblInd w:type="dxa" w:w="120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D9D9D9" w:sz="2"/>
          <w:insideV w:val="single" w:color="D9D9D9" w:sz="2"/>
        </w:tblBorders>
        <w:tblLayout w:type="fixed"/>
      </w:tblPr>
      <w:tblGrid>
        <w:gridCol w:w="3072"/>
        <w:gridCol w:w="3072"/>
        <w:gridCol w:w="1728"/>
        <w:gridCol w:w="1154"/>
      </w:tblGrid>
      <w:tr>
        <w:trPr>
          <w:cantSplit/>
          <w:tblHeader/>
        </w:trPr>
        <w:tc>
          <w:tcPr>
            <w:tcW w:type="dxa" w:w="3072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Risk</w:t>
            </w:r>
          </w:p>
        </w:tc>
        <w:tc>
          <w:tcPr>
            <w:tcW w:type="dxa" w:w="3072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Possible controls to tailor</w:t>
            </w:r>
          </w:p>
        </w:tc>
        <w:tc>
          <w:tcPr>
            <w:tcW w:type="dxa" w:w="1728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Owner</w:t>
            </w:r>
          </w:p>
        </w:tc>
        <w:tc>
          <w:tcPr>
            <w:tcW w:type="dxa" w:w="1154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Review date</w:t>
            </w:r>
          </w:p>
        </w:tc>
      </w:tr>
      <w:tr>
        <w:trPr>
          <w:cantSplit/>
        </w:trPr>
        <w:tc>
          <w:tcPr>
            <w:tcW w:type="dxa" w:w="307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Incomplete or manipulated records</w:t>
            </w:r>
          </w:p>
        </w:tc>
        <w:tc>
          <w:tcPr>
            <w:tcW w:type="dxa" w:w="307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Require source records for material entries; Escalate unexplained inconsistencies; Record the resolution and evidence reference</w:t>
            </w:r>
          </w:p>
        </w:tc>
        <w:tc>
          <w:tcPr>
            <w:tcW w:type="dxa" w:w="172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Head of compliance</w:t>
            </w:r>
          </w:p>
        </w:tc>
        <w:tc>
          <w:tcPr>
            <w:tcW w:type="dxa" w:w="1154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</w:tr>
      <w:tr>
        <w:trPr>
          <w:cantSplit/>
        </w:trPr>
        <w:tc>
          <w:tcPr>
            <w:tcW w:type="dxa" w:w="3072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Tax repayment and refund fraud</w:t>
            </w:r>
          </w:p>
        </w:tc>
        <w:tc>
          <w:tcPr>
            <w:tcW w:type="dxa" w:w="3072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Confirm authority to act; Verify supporting evidence; Separate preparation and approval for higher-risk claims</w:t>
            </w:r>
          </w:p>
        </w:tc>
        <w:tc>
          <w:tcPr>
            <w:tcW w:type="dxa" w:w="172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Head of compliance</w:t>
            </w:r>
          </w:p>
        </w:tc>
        <w:tc>
          <w:tcPr>
            <w:tcW w:type="dxa" w:w="1154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</w:tr>
      <w:tr>
        <w:trPr>
          <w:cantSplit/>
        </w:trPr>
        <w:tc>
          <w:tcPr>
            <w:tcW w:type="dxa" w:w="307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Cash-intensive or opaque customers</w:t>
            </w:r>
          </w:p>
        </w:tc>
        <w:tc>
          <w:tcPr>
            <w:tcW w:type="dxa" w:w="307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Record customer and beneficial-owner checks; Set transaction and document review triggers; Review source of funds where appropriate</w:t>
            </w:r>
          </w:p>
        </w:tc>
        <w:tc>
          <w:tcPr>
            <w:tcW w:type="dxa" w:w="172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Head of compliance</w:t>
            </w:r>
          </w:p>
        </w:tc>
        <w:tc>
          <w:tcPr>
            <w:tcW w:type="dxa" w:w="1154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</w:tr>
      <w:tr>
        <w:trPr>
          <w:cantSplit/>
        </w:trPr>
        <w:tc>
          <w:tcPr>
            <w:tcW w:type="dxa" w:w="3072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Insolvency and financial distress</w:t>
            </w:r>
          </w:p>
        </w:tc>
        <w:tc>
          <w:tcPr>
            <w:tcW w:type="dxa" w:w="3072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Use matter-specific escalation prompts; Record connected parties and asset movements; Preserve internal suspicion decisions</w:t>
            </w:r>
          </w:p>
        </w:tc>
        <w:tc>
          <w:tcPr>
            <w:tcW w:type="dxa" w:w="172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Head of compliance</w:t>
            </w:r>
          </w:p>
        </w:tc>
        <w:tc>
          <w:tcPr>
            <w:tcW w:type="dxa" w:w="1154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</w:tr>
      <w:tr>
        <w:trPr>
          <w:cantSplit/>
        </w:trPr>
        <w:tc>
          <w:tcPr>
            <w:tcW w:type="dxa" w:w="307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Company and trust service overlap</w:t>
            </w:r>
          </w:p>
        </w:tc>
        <w:tc>
          <w:tcPr>
            <w:tcW w:type="dxa" w:w="307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Confirm TCSP scope and supervision; Apply ownership and control checks; Review rapid or unexplained structural changes</w:t>
            </w:r>
          </w:p>
        </w:tc>
        <w:tc>
          <w:tcPr>
            <w:tcW w:type="dxa" w:w="172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Head of compliance</w:t>
            </w:r>
          </w:p>
        </w:tc>
        <w:tc>
          <w:tcPr>
            <w:tcW w:type="dxa" w:w="1154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</w:tr>
      <w:tr>
        <w:trPr>
          <w:cantSplit/>
        </w:trPr>
        <w:tc>
          <w:tcPr>
            <w:tcW w:type="dxa" w:w="3072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Remote and overseas instructions</w:t>
            </w:r>
          </w:p>
        </w:tc>
        <w:tc>
          <w:tcPr>
            <w:tcW w:type="dxa" w:w="3072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Use risk-based verification controls; Record country-risk sources and dates; Escalate unexplained intermediaries</w:t>
            </w:r>
          </w:p>
        </w:tc>
        <w:tc>
          <w:tcPr>
            <w:tcW w:type="dxa" w:w="172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Head of compliance</w:t>
            </w:r>
          </w:p>
        </w:tc>
        <w:tc>
          <w:tcPr>
            <w:tcW w:type="dxa" w:w="1154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</w:tr>
    </w:tbl>
    <w:p>
      <w:pPr>
        <w:pStyle w:val="Heading1"/>
      </w:pPr>
      <w:r>
        <w:t xml:space="preserve">Mandatory risk-factor prompts</w:t>
      </w:r>
    </w:p>
    <w:p>
      <w:pPr>
        <w:pStyle w:val="ListParagraph"/>
        <w:numPr>
          <w:ilvl w:val="0"/>
          <w:numId w:val="1"/>
        </w:numPr>
      </w:pPr>
      <w:r>
        <w:t xml:space="preserve">Customers and beneficial owners</w:t>
      </w:r>
    </w:p>
    <w:p>
      <w:pPr>
        <w:pStyle w:val="ListParagraph"/>
        <w:numPr>
          <w:ilvl w:val="0"/>
          <w:numId w:val="1"/>
        </w:numPr>
      </w:pPr>
      <w:r>
        <w:t xml:space="preserve">Countries and geographic areas</w:t>
      </w:r>
    </w:p>
    <w:p>
      <w:pPr>
        <w:pStyle w:val="ListParagraph"/>
        <w:numPr>
          <w:ilvl w:val="0"/>
          <w:numId w:val="1"/>
        </w:numPr>
      </w:pPr>
      <w:r>
        <w:t xml:space="preserve">Products, services and transactions</w:t>
      </w:r>
    </w:p>
    <w:p>
      <w:pPr>
        <w:pStyle w:val="ListParagraph"/>
        <w:numPr>
          <w:ilvl w:val="0"/>
          <w:numId w:val="1"/>
        </w:numPr>
      </w:pPr>
      <w:r>
        <w:t xml:space="preserve">Delivery channels</w:t>
      </w:r>
    </w:p>
    <w:p>
      <w:pPr>
        <w:pStyle w:val="ListParagraph"/>
        <w:numPr>
          <w:ilvl w:val="0"/>
          <w:numId w:val="1"/>
        </w:numPr>
      </w:pPr>
      <w:r>
        <w:t xml:space="preserve">Money laundering and terrorist financing</w:t>
      </w:r>
    </w:p>
    <w:p>
      <w:pPr>
        <w:pStyle w:val="ListParagraph"/>
        <w:numPr>
          <w:ilvl w:val="0"/>
          <w:numId w:val="1"/>
        </w:numPr>
      </w:pPr>
      <w:r>
        <w:t xml:space="preserve">Proliferation financing</w:t>
      </w:r>
    </w:p>
    <w:p>
      <w:pPr>
        <w:pStyle w:val="Heading1"/>
      </w:pPr>
      <w:r>
        <w:t xml:space="preserve">Approval record</w:t>
      </w:r>
    </w:p>
    <w:p>
      <w:r>
        <w:t xml:space="preserve">The authorised approver must confirm that the assessment reflects the actual business and that selected controls are proportionate. The tool does not supply that approval.</w:t>
      </w:r>
    </w:p>
    <w:tbl>
      <w:tblPr>
        <w:tblW w:type="dxa" w:w="9026"/>
        <w:tblInd w:type="dxa" w:w="120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D9D9D9" w:sz="2"/>
          <w:insideV w:val="single" w:color="D9D9D9" w:sz="2"/>
        </w:tblBorders>
        <w:tblLayout w:type="fixed"/>
      </w:tblPr>
      <w:tblGrid>
        <w:gridCol w:w="3131"/>
        <w:gridCol w:w="5895"/>
      </w:tblGrid>
      <w:tr>
        <w:trPr>
          <w:cantSplit/>
          <w:tblHeader/>
        </w:trPr>
        <w:tc>
          <w:tcPr>
            <w:tcW w:type="dxa" w:w="3131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Field</w:t>
            </w:r>
          </w:p>
        </w:tc>
        <w:tc>
          <w:tcPr>
            <w:tcW w:type="dxa" w:w="5895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Value</w:t>
            </w:r>
          </w:p>
        </w:tc>
      </w:tr>
      <w:tr>
        <w:trPr>
          <w:cantSplit/>
        </w:trPr>
        <w:tc>
          <w:tcPr>
            <w:tcW w:type="dxa" w:w="313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Proposed approver</w:t>
            </w:r>
          </w:p>
        </w:tc>
        <w:tc>
          <w:tcPr>
            <w:tcW w:type="dxa" w:w="5895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Managing director</w:t>
            </w:r>
          </w:p>
        </w:tc>
      </w:tr>
      <w:tr>
        <w:trPr>
          <w:cantSplit/>
        </w:trPr>
        <w:tc>
          <w:tcPr>
            <w:tcW w:type="dxa" w:w="3131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Approval date</w:t>
            </w:r>
          </w:p>
        </w:tc>
        <w:tc>
          <w:tcPr>
            <w:tcW w:type="dxa" w:w="5895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Complete after review</w:t>
            </w:r>
          </w:p>
        </w:tc>
      </w:tr>
      <w:tr>
        <w:trPr>
          <w:cantSplit/>
        </w:trPr>
        <w:tc>
          <w:tcPr>
            <w:tcW w:type="dxa" w:w="313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Decision</w:t>
            </w:r>
          </w:p>
        </w:tc>
        <w:tc>
          <w:tcPr>
            <w:tcW w:type="dxa" w:w="5895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Approve, approve with actions, or return for revision</w:t>
            </w:r>
          </w:p>
        </w:tc>
      </w:tr>
      <w:tr>
        <w:trPr>
          <w:cantSplit/>
        </w:trPr>
        <w:tc>
          <w:tcPr>
            <w:tcW w:type="dxa" w:w="3131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Next review</w:t>
            </w:r>
          </w:p>
        </w:tc>
        <w:tc>
          <w:tcPr>
            <w:tcW w:type="dxa" w:w="5895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2027</w:t>
            </w:r>
          </w:p>
        </w:tc>
      </w:tr>
      <w:tr>
        <w:trPr>
          <w:cantSplit/>
        </w:trPr>
        <w:tc>
          <w:tcPr>
            <w:tcW w:type="dxa" w:w="313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Status</w:t>
            </w:r>
          </w:p>
        </w:tc>
        <w:tc>
          <w:tcPr>
            <w:tcW w:type="dxa" w:w="5895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Ready for human approval</w:t>
            </w:r>
          </w:p>
        </w:tc>
      </w:tr>
    </w:tbl>
    <w:p>
      <w:pPr>
        <w:pStyle w:val="Heading1"/>
        <w:keepNext/>
      </w:pPr>
      <w:r>
        <w:t xml:space="preserve">Assumptions</w:t>
      </w:r>
    </w:p>
    <w:p>
      <w:pPr>
        <w:pStyle w:val="ListParagraph"/>
        <w:keepNext/>
        <w:keepLines/>
        <w:numPr>
          <w:ilvl w:val="0"/>
          <w:numId w:val="1"/>
        </w:numPr>
      </w:pPr>
      <w:r>
        <w:t xml:space="preserve">Organisation entered by the user: Northbank Accountancy Ltd.</w:t>
      </w:r>
    </w:p>
    <w:p>
      <w:pPr>
        <w:pStyle w:val="ListParagraph"/>
        <w:keepNext/>
        <w:keepLines/>
        <w:numPr>
          <w:ilvl w:val="0"/>
          <w:numId w:val="1"/>
        </w:numPr>
      </w:pPr>
      <w:r>
        <w:t xml:space="preserve">Sector route selected by the user: Accountancy service provider.</w:t>
      </w:r>
    </w:p>
    <w:p>
      <w:pPr>
        <w:pStyle w:val="ListParagraph"/>
        <w:keepNext/>
        <w:keepLines/>
        <w:numPr>
          <w:ilvl w:val="0"/>
          <w:numId w:val="1"/>
        </w:numPr>
      </w:pPr>
      <w:r>
        <w:t xml:space="preserve">Supervisor entered by the user: HM Revenue &amp; Customs.</w:t>
      </w:r>
    </w:p>
    <w:p>
      <w:pPr>
        <w:pStyle w:val="ListParagraph"/>
        <w:keepNext/>
        <w:keepLines/>
        <w:numPr>
          <w:ilvl w:val="0"/>
          <w:numId w:val="1"/>
        </w:numPr>
      </w:pPr>
      <w:r>
        <w:t xml:space="preserve">Selected activities: Bookkeeping, Accounts preparation, Tax advice or returns, Payroll services.</w:t>
      </w:r>
    </w:p>
    <w:p>
      <w:pPr>
        <w:pStyle w:val="ListParagraph"/>
        <w:keepNext/>
        <w:keepLines/>
        <w:numPr>
          <w:ilvl w:val="0"/>
          <w:numId w:val="1"/>
        </w:numPr>
      </w:pPr>
      <w:r>
        <w:t xml:space="preserve">Service profile and annual volume: 146 active owner-managed businesses, 38 sole traders and 22 tax-only clients. Typical annual fees range from £2,000 to £12,000.</w:t>
      </w:r>
    </w:p>
    <w:p>
      <w:pPr>
        <w:pStyle w:val="ListParagraph"/>
        <w:keepNext/>
        <w:keepLines/>
        <w:numPr>
          <w:ilvl w:val="0"/>
          <w:numId w:val="1"/>
        </w:numPr>
      </w:pPr>
      <w:r>
        <w:t xml:space="preserve">Outsourcing and referral arrangements: A UK payroll bureau and a cloud bookkeeping platform support delivery. No overseas subcontractors are used, and referrals are not relied on for customer due diligence.</w:t>
      </w:r>
    </w:p>
    <w:p>
      <w:pPr>
        <w:pStyle w:val="ListParagraph"/>
        <w:keepNext/>
        <w:keepLines/>
        <w:numPr>
          <w:ilvl w:val="0"/>
          <w:numId w:val="1"/>
        </w:numPr>
      </w:pPr>
      <w:r>
        <w:t xml:space="preserve">Client money and payment involvement: The practice does not hold client money or initiate payments. Tax repayment instructions are confirmed with the named client through the secure portal.</w:t>
      </w:r>
    </w:p>
    <w:p>
      <w:pPr>
        <w:pStyle w:val="ListParagraph"/>
        <w:keepNext/>
        <w:keepLines/>
        <w:numPr>
          <w:ilvl w:val="0"/>
          <w:numId w:val="1"/>
        </w:numPr>
      </w:pPr>
      <w:r>
        <w:t xml:space="preserve">Higher-risk work profile: The current higher-risk population includes six trusts, 11 overseas beneficial owners and 14 repayment claims in the last year. The practice does not provide insolvency or company-formation services.</w:t>
      </w:r>
    </w:p>
    <w:p>
      <w:pPr>
        <w:pStyle w:val="ListParagraph"/>
        <w:keepNext/>
        <w:keepLines/>
        <w:numPr>
          <w:ilvl w:val="0"/>
          <w:numId w:val="1"/>
        </w:numPr>
      </w:pPr>
      <w:r>
        <w:t xml:space="preserve">Risk ratings supplied for 6 of 6 prompted sector risks.</w:t>
      </w:r>
    </w:p>
    <w:p>
      <w:pPr>
        <w:pStyle w:val="ListParagraph"/>
        <w:keepNext w:val="false"/>
        <w:keepLines/>
        <w:numPr>
          <w:ilvl w:val="0"/>
          <w:numId w:val="1"/>
        </w:numPr>
      </w:pPr>
      <w:r>
        <w:t xml:space="preserve">Scope assumptions entered by the user: This is a fictional sample for product inspection. The organisation, references and operating facts are not real. A purchaser must replace them with its own confirmed information before review and approval.</w:t>
      </w:r>
    </w:p>
    <w:p>
      <w:pPr>
        <w:pStyle w:val="Heading1"/>
        <w:keepNext/>
      </w:pPr>
      <w:r>
        <w:t xml:space="preserve">Limitations</w:t>
      </w:r>
    </w:p>
    <w:p>
      <w:pPr>
        <w:pStyle w:val="ListParagraph"/>
        <w:keepNext/>
        <w:keepLines/>
        <w:numPr>
          <w:ilvl w:val="0"/>
          <w:numId w:val="1"/>
        </w:numPr>
      </w:pPr>
      <w:r>
        <w:t xml:space="preserve">This is a structured starter pack. It does not determine regulatory scope, supervision, risk level, control adequacy, customer acceptance, suspicion or reporting.</w:t>
      </w:r>
    </w:p>
    <w:p>
      <w:pPr>
        <w:pStyle w:val="ListParagraph"/>
        <w:keepNext/>
        <w:keepLines/>
        <w:numPr>
          <w:ilvl w:val="0"/>
          <w:numId w:val="1"/>
        </w:numPr>
      </w:pPr>
      <w:r>
        <w:t xml:space="preserve">Suggested controls are drafting prompts. The organisation must tailor, approve, implement and evidence them.</w:t>
      </w:r>
    </w:p>
    <w:p>
      <w:pPr>
        <w:pStyle w:val="ListParagraph"/>
        <w:keepNext/>
        <w:keepLines/>
        <w:numPr>
          <w:ilvl w:val="0"/>
          <w:numId w:val="1"/>
        </w:numPr>
      </w:pPr>
      <w:r>
        <w:t xml:space="preserve">The pack does not screen customers or transactions and does not connect to HMRC, a professional body, the NCA or any sanctions service.</w:t>
      </w:r>
    </w:p>
    <w:p>
      <w:pPr>
        <w:pStyle w:val="ListParagraph"/>
        <w:keepNext w:val="false"/>
        <w:keepLines/>
        <w:numPr>
          <w:ilvl w:val="0"/>
          <w:numId w:val="1"/>
        </w:numPr>
      </w:pPr>
      <w:r>
        <w:t xml:space="preserve">Law, guidance, services and risks can change. Review the cited source versions before approval and after material change.</w:t>
      </w:r>
    </w:p>
    <w:p>
      <w:pPr>
        <w:pStyle w:val="Heading1"/>
        <w:pageBreakBefore/>
      </w:pPr>
      <w:r>
        <w:t xml:space="preserve">Official sources</w:t>
      </w:r>
    </w:p>
    <w:tbl>
      <w:tblPr>
        <w:tblW w:type="dxa" w:w="9026"/>
        <w:tblInd w:type="dxa" w:w="120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D9D9D9" w:sz="2"/>
          <w:insideV w:val="single" w:color="D9D9D9" w:sz="2"/>
        </w:tblBorders>
        <w:tblLayout w:type="fixed"/>
      </w:tblPr>
      <w:tblGrid>
        <w:gridCol w:w="3008"/>
        <w:gridCol w:w="3008"/>
        <w:gridCol w:w="1128"/>
        <w:gridCol w:w="1882"/>
      </w:tblGrid>
      <w:tr>
        <w:trPr>
          <w:cantSplit/>
          <w:tblHeader/>
        </w:trPr>
        <w:tc>
          <w:tcPr>
            <w:tcW w:type="dxa" w:w="3008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Source</w:t>
            </w:r>
          </w:p>
        </w:tc>
        <w:tc>
          <w:tcPr>
            <w:tcW w:type="dxa" w:w="3008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Provision</w:t>
            </w:r>
          </w:p>
        </w:tc>
        <w:tc>
          <w:tcPr>
            <w:tcW w:type="dxa" w:w="1128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Reviewed</w:t>
            </w:r>
          </w:p>
        </w:tc>
        <w:tc>
          <w:tcPr>
            <w:tcW w:type="dxa" w:w="1882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Link</w:t>
            </w:r>
          </w:p>
        </w:tc>
      </w:tr>
      <w:tr>
        <w:trPr>
          <w:cantSplit/>
        </w:trPr>
        <w:tc>
          <w:tcPr>
            <w:tcW w:type="dxa" w:w="300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UK Legislation: Money Laundering, Terrorist Financing and Transfer of Funds Regulations 2017</w:t>
            </w:r>
          </w:p>
        </w:tc>
        <w:tc>
          <w:tcPr>
            <w:tcW w:type="dxa" w:w="300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Regulations 18, 18A, 19, 21, 27 to 40 and 46</w:t>
            </w:r>
          </w:p>
        </w:tc>
        <w:tc>
          <w:tcPr>
            <w:tcW w:type="dxa" w:w="112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  <w:tc>
          <w:tcPr>
            <w:tcW w:type="dxa" w:w="188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hyperlink w:history="1" r:id="rIdors1q-b2lsvsw_2gj9fhd">
              <w:r>
                <w:rPr>
                  <w:rFonts w:ascii="Times New Roman" w:cs="Times New Roman" w:eastAsia="Times New Roman" w:hAnsi="Times New Roman"/>
                  <w:b w:val="false"/>
                  <w:bCs w:val="false"/>
                  <w:color w:val="1F1F1F"/>
                  <w:sz w:val="20"/>
                  <w:szCs w:val="20"/>
                  <w:u w:val="single"/>
                </w:rPr>
                <w:t xml:space="preserve">Open official source</w:t>
              </w:r>
            </w:hyperlink>
          </w:p>
        </w:tc>
      </w:tr>
      <w:tr>
        <w:trPr>
          <w:cantSplit/>
        </w:trPr>
        <w:tc>
          <w:tcPr>
            <w:tcW w:type="dxa" w:w="300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UK Legislation: Money Laundering and Terrorist Financing (Amendment) Regulations 2026</w:t>
            </w:r>
          </w:p>
        </w:tc>
        <w:tc>
          <w:tcPr>
            <w:tcW w:type="dxa" w:w="300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SI 2026/621</w:t>
            </w:r>
          </w:p>
        </w:tc>
        <w:tc>
          <w:tcPr>
            <w:tcW w:type="dxa" w:w="112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  <w:tc>
          <w:tcPr>
            <w:tcW w:type="dxa" w:w="1882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hyperlink w:history="1" r:id="rIdpo3cvgmwun9n5isazmykp">
              <w:r>
                <w:rPr>
                  <w:rFonts w:ascii="Times New Roman" w:cs="Times New Roman" w:eastAsia="Times New Roman" w:hAnsi="Times New Roman"/>
                  <w:b w:val="false"/>
                  <w:bCs w:val="false"/>
                  <w:color w:val="1F1F1F"/>
                  <w:sz w:val="20"/>
                  <w:szCs w:val="20"/>
                  <w:u w:val="single"/>
                </w:rPr>
                <w:t xml:space="preserve">Open official source</w:t>
              </w:r>
            </w:hyperlink>
          </w:p>
        </w:tc>
      </w:tr>
      <w:tr>
        <w:trPr>
          <w:cantSplit/>
        </w:trPr>
        <w:tc>
          <w:tcPr>
            <w:tcW w:type="dxa" w:w="300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HM Revenue &amp; Customs: Guidance for all sectors: Introduction</w:t>
            </w:r>
          </w:p>
        </w:tc>
        <w:tc>
          <w:tcPr>
            <w:tcW w:type="dxa" w:w="300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/>
            </w:r>
          </w:p>
        </w:tc>
        <w:tc>
          <w:tcPr>
            <w:tcW w:type="dxa" w:w="112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  <w:tc>
          <w:tcPr>
            <w:tcW w:type="dxa" w:w="188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hyperlink w:history="1" r:id="rIdoxmbsn7nxbepgv-rs523o">
              <w:r>
                <w:rPr>
                  <w:rFonts w:ascii="Times New Roman" w:cs="Times New Roman" w:eastAsia="Times New Roman" w:hAnsi="Times New Roman"/>
                  <w:b w:val="false"/>
                  <w:bCs w:val="false"/>
                  <w:color w:val="1F1F1F"/>
                  <w:sz w:val="20"/>
                  <w:szCs w:val="20"/>
                  <w:u w:val="single"/>
                </w:rPr>
                <w:t xml:space="preserve">Open official source</w:t>
              </w:r>
            </w:hyperlink>
          </w:p>
        </w:tc>
      </w:tr>
      <w:tr>
        <w:trPr>
          <w:cantSplit/>
        </w:trPr>
        <w:tc>
          <w:tcPr>
            <w:tcW w:type="dxa" w:w="300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HM Revenue &amp; Customs: Business risk assessment</w:t>
            </w:r>
          </w:p>
        </w:tc>
        <w:tc>
          <w:tcPr>
            <w:tcW w:type="dxa" w:w="300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Regulations 18 and 18A</w:t>
            </w:r>
          </w:p>
        </w:tc>
        <w:tc>
          <w:tcPr>
            <w:tcW w:type="dxa" w:w="112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  <w:tc>
          <w:tcPr>
            <w:tcW w:type="dxa" w:w="1882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hyperlink w:history="1" r:id="rId7axynmzjeg5-ehsuc0ldx">
              <w:r>
                <w:rPr>
                  <w:rFonts w:ascii="Times New Roman" w:cs="Times New Roman" w:eastAsia="Times New Roman" w:hAnsi="Times New Roman"/>
                  <w:b w:val="false"/>
                  <w:bCs w:val="false"/>
                  <w:color w:val="1F1F1F"/>
                  <w:sz w:val="20"/>
                  <w:szCs w:val="20"/>
                  <w:u w:val="single"/>
                </w:rPr>
                <w:t xml:space="preserve">Open official source</w:t>
              </w:r>
            </w:hyperlink>
          </w:p>
        </w:tc>
      </w:tr>
      <w:tr>
        <w:trPr>
          <w:cantSplit/>
        </w:trPr>
        <w:tc>
          <w:tcPr>
            <w:tcW w:type="dxa" w:w="300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HM Revenue &amp; Customs: Policies, controls and procedures</w:t>
            </w:r>
          </w:p>
        </w:tc>
        <w:tc>
          <w:tcPr>
            <w:tcW w:type="dxa" w:w="300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Regulation 19</w:t>
            </w:r>
          </w:p>
        </w:tc>
        <w:tc>
          <w:tcPr>
            <w:tcW w:type="dxa" w:w="112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  <w:tc>
          <w:tcPr>
            <w:tcW w:type="dxa" w:w="188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hyperlink w:history="1" r:id="rIdldpdx6ztx91vcxzdwl_6t">
              <w:r>
                <w:rPr>
                  <w:rFonts w:ascii="Times New Roman" w:cs="Times New Roman" w:eastAsia="Times New Roman" w:hAnsi="Times New Roman"/>
                  <w:b w:val="false"/>
                  <w:bCs w:val="false"/>
                  <w:color w:val="1F1F1F"/>
                  <w:sz w:val="20"/>
                  <w:szCs w:val="20"/>
                  <w:u w:val="single"/>
                </w:rPr>
                <w:t xml:space="preserve">Open official source</w:t>
              </w:r>
            </w:hyperlink>
          </w:p>
        </w:tc>
      </w:tr>
      <w:tr>
        <w:trPr>
          <w:cantSplit/>
        </w:trPr>
        <w:tc>
          <w:tcPr>
            <w:tcW w:type="dxa" w:w="300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HM Revenue &amp; Customs: Customer due diligence</w:t>
            </w:r>
          </w:p>
        </w:tc>
        <w:tc>
          <w:tcPr>
            <w:tcW w:type="dxa" w:w="300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Regulations 27 to 32</w:t>
            </w:r>
          </w:p>
        </w:tc>
        <w:tc>
          <w:tcPr>
            <w:tcW w:type="dxa" w:w="112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  <w:tc>
          <w:tcPr>
            <w:tcW w:type="dxa" w:w="1882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hyperlink w:history="1" r:id="rIdpr4cagqvsxwgrsqncaymd">
              <w:r>
                <w:rPr>
                  <w:rFonts w:ascii="Times New Roman" w:cs="Times New Roman" w:eastAsia="Times New Roman" w:hAnsi="Times New Roman"/>
                  <w:b w:val="false"/>
                  <w:bCs w:val="false"/>
                  <w:color w:val="1F1F1F"/>
                  <w:sz w:val="20"/>
                  <w:szCs w:val="20"/>
                  <w:u w:val="single"/>
                </w:rPr>
                <w:t xml:space="preserve">Open official source</w:t>
              </w:r>
            </w:hyperlink>
          </w:p>
        </w:tc>
      </w:tr>
      <w:tr>
        <w:trPr>
          <w:cantSplit/>
        </w:trPr>
        <w:tc>
          <w:tcPr>
            <w:tcW w:type="dxa" w:w="300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HM Revenue &amp; Customs: Enhanced due diligence</w:t>
            </w:r>
          </w:p>
        </w:tc>
        <w:tc>
          <w:tcPr>
            <w:tcW w:type="dxa" w:w="300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Regulations 33 and 35</w:t>
            </w:r>
          </w:p>
        </w:tc>
        <w:tc>
          <w:tcPr>
            <w:tcW w:type="dxa" w:w="112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  <w:tc>
          <w:tcPr>
            <w:tcW w:type="dxa" w:w="188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hyperlink w:history="1" r:id="rIdpk9p3dfghuynexywlx8wj">
              <w:r>
                <w:rPr>
                  <w:rFonts w:ascii="Times New Roman" w:cs="Times New Roman" w:eastAsia="Times New Roman" w:hAnsi="Times New Roman"/>
                  <w:b w:val="false"/>
                  <w:bCs w:val="false"/>
                  <w:color w:val="1F1F1F"/>
                  <w:sz w:val="20"/>
                  <w:szCs w:val="20"/>
                  <w:u w:val="single"/>
                </w:rPr>
                <w:t xml:space="preserve">Open official source</w:t>
              </w:r>
            </w:hyperlink>
          </w:p>
        </w:tc>
      </w:tr>
      <w:tr>
        <w:trPr>
          <w:cantSplit/>
        </w:trPr>
        <w:tc>
          <w:tcPr>
            <w:tcW w:type="dxa" w:w="300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HM Revenue &amp; Customs: Suspicious activity reports</w:t>
            </w:r>
          </w:p>
        </w:tc>
        <w:tc>
          <w:tcPr>
            <w:tcW w:type="dxa" w:w="300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/>
            </w:r>
          </w:p>
        </w:tc>
        <w:tc>
          <w:tcPr>
            <w:tcW w:type="dxa" w:w="112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  <w:tc>
          <w:tcPr>
            <w:tcW w:type="dxa" w:w="1882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hyperlink w:history="1" r:id="rIdzsjy6bgyjh13ofrmirkbf">
              <w:r>
                <w:rPr>
                  <w:rFonts w:ascii="Times New Roman" w:cs="Times New Roman" w:eastAsia="Times New Roman" w:hAnsi="Times New Roman"/>
                  <w:b w:val="false"/>
                  <w:bCs w:val="false"/>
                  <w:color w:val="1F1F1F"/>
                  <w:sz w:val="20"/>
                  <w:szCs w:val="20"/>
                  <w:u w:val="single"/>
                </w:rPr>
                <w:t xml:space="preserve">Open official source</w:t>
              </w:r>
            </w:hyperlink>
          </w:p>
        </w:tc>
      </w:tr>
      <w:tr>
        <w:trPr>
          <w:cantSplit/>
        </w:trPr>
        <w:tc>
          <w:tcPr>
            <w:tcW w:type="dxa" w:w="300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HM Revenue &amp; Customs: Record keeping</w:t>
            </w:r>
          </w:p>
        </w:tc>
        <w:tc>
          <w:tcPr>
            <w:tcW w:type="dxa" w:w="300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Regulation 40</w:t>
            </w:r>
          </w:p>
        </w:tc>
        <w:tc>
          <w:tcPr>
            <w:tcW w:type="dxa" w:w="112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  <w:tc>
          <w:tcPr>
            <w:tcW w:type="dxa" w:w="188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hyperlink w:history="1" r:id="rIdg-1rnv4lr011ytbemtnia">
              <w:r>
                <w:rPr>
                  <w:rFonts w:ascii="Times New Roman" w:cs="Times New Roman" w:eastAsia="Times New Roman" w:hAnsi="Times New Roman"/>
                  <w:b w:val="false"/>
                  <w:bCs w:val="false"/>
                  <w:color w:val="1F1F1F"/>
                  <w:sz w:val="20"/>
                  <w:szCs w:val="20"/>
                  <w:u w:val="single"/>
                </w:rPr>
                <w:t xml:space="preserve">Open official source</w:t>
              </w:r>
            </w:hyperlink>
          </w:p>
        </w:tc>
      </w:tr>
      <w:tr>
        <w:trPr>
          <w:cantSplit/>
        </w:trPr>
        <w:tc>
          <w:tcPr>
            <w:tcW w:type="dxa" w:w="300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HM Revenue &amp; Customs: Training</w:t>
            </w:r>
          </w:p>
        </w:tc>
        <w:tc>
          <w:tcPr>
            <w:tcW w:type="dxa" w:w="300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Regulation 21</w:t>
            </w:r>
          </w:p>
        </w:tc>
        <w:tc>
          <w:tcPr>
            <w:tcW w:type="dxa" w:w="112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  <w:tc>
          <w:tcPr>
            <w:tcW w:type="dxa" w:w="1882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hyperlink w:history="1" r:id="rIdvbaii6jzgy9ej1rbz4qqp">
              <w:r>
                <w:rPr>
                  <w:rFonts w:ascii="Times New Roman" w:cs="Times New Roman" w:eastAsia="Times New Roman" w:hAnsi="Times New Roman"/>
                  <w:b w:val="false"/>
                  <w:bCs w:val="false"/>
                  <w:color w:val="1F1F1F"/>
                  <w:sz w:val="20"/>
                  <w:szCs w:val="20"/>
                  <w:u w:val="single"/>
                </w:rPr>
                <w:t xml:space="preserve">Open official source</w:t>
              </w:r>
            </w:hyperlink>
          </w:p>
        </w:tc>
      </w:tr>
      <w:tr>
        <w:trPr>
          <w:cantSplit/>
        </w:trPr>
        <w:tc>
          <w:tcPr>
            <w:tcW w:type="dxa" w:w="300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HM Revenue &amp; Customs: Risks common to accountancy service providers</w:t>
            </w:r>
          </w:p>
        </w:tc>
        <w:tc>
          <w:tcPr>
            <w:tcW w:type="dxa" w:w="300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/>
            </w:r>
          </w:p>
        </w:tc>
        <w:tc>
          <w:tcPr>
            <w:tcW w:type="dxa" w:w="112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  <w:tc>
          <w:tcPr>
            <w:tcW w:type="dxa" w:w="188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hyperlink w:history="1" r:id="rIduhtdui0-gbn0fxbjhf1ub">
              <w:r>
                <w:rPr>
                  <w:rFonts w:ascii="Times New Roman" w:cs="Times New Roman" w:eastAsia="Times New Roman" w:hAnsi="Times New Roman"/>
                  <w:b w:val="false"/>
                  <w:bCs w:val="false"/>
                  <w:color w:val="1F1F1F"/>
                  <w:sz w:val="20"/>
                  <w:szCs w:val="20"/>
                  <w:u w:val="single"/>
                </w:rPr>
                <w:t xml:space="preserve">Open official source</w:t>
              </w:r>
            </w:hyperlink>
          </w:p>
        </w:tc>
      </w:tr>
    </w:tbl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right"/>
    </w:pPr>
    <w:r>
      <w:rPr>
        <w:rFonts w:ascii="Times New Roman" w:cs="Times New Roman" w:eastAsia="Times New Roman" w:hAnsi="Times New Roman"/>
        <w:color w:val="595959"/>
        <w:sz w:val="17"/>
        <w:szCs w:val="17"/>
      </w:rPr>
      <w:t xml:space="preserve">Page </w:t>
    </w:r>
    <w:r>
      <w:rPr>
        <w:rFonts w:ascii="Times New Roman" w:cs="Times New Roman" w:eastAsia="Times New Roman" w:hAnsi="Times New Roman"/>
        <w:color w:val="595959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D9D9D9" w:sz="2"/>
      </w:pBdr>
      <w:spacing w:after="80"/>
    </w:pPr>
    <w:r>
      <w:rPr>
        <w:rFonts w:ascii="Times New Roman" w:cs="Times New Roman" w:eastAsia="Times New Roman" w:hAnsi="Times New Roman"/>
        <w:color w:val="595959"/>
        <w:sz w:val="17"/>
        <w:szCs w:val="17"/>
      </w:rPr>
      <w:t xml:space="preserve">Business Compliance Tools</w:t>
    </w:r>
    <w:r>
      <w:rPr>
        <w:rFonts w:ascii="Times New Roman" w:cs="Times New Roman" w:eastAsia="Times New Roman" w:hAnsi="Times New Roman"/>
        <w:color w:val="595959"/>
        <w:sz w:val="17"/>
        <w:szCs w:val="17"/>
      </w:rPr>
      <w:t xml:space="preserve">  |  AML-ACCOUNTANCY-TAX-20260731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color w:val="1F1F1F"/>
        <w:sz w:val="22"/>
        <w:szCs w:val="22"/>
      </w:rPr>
    </w:rPrDefault>
    <w:pPrDefault>
      <w:pPr>
        <w:spacing w:after="120" w:before="0"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keepNext/>
      <w:spacing w:after="160" w:before="320"/>
    </w:pPr>
    <w:rPr>
      <w:rFonts w:ascii="Times New Roman" w:cs="Times New Roman" w:eastAsia="Times New Roman" w:hAnsi="Times New Roman"/>
      <w:b/>
      <w:bCs/>
      <w:color w:val="1F1F1F"/>
      <w:sz w:val="28"/>
      <w:szCs w:val="28"/>
    </w:rPr>
  </w:style>
  <w:style w:type="paragraph" w:styleId="Heading2">
    <w:name w:val="Heading 2"/>
    <w:basedOn w:val="Normal"/>
    <w:next w:val="Normal"/>
    <w:qFormat/>
    <w:pPr>
      <w:keepNext/>
      <w:spacing w:after="120" w:before="240"/>
    </w:pPr>
    <w:rPr>
      <w:rFonts w:ascii="Times New Roman" w:cs="Times New Roman" w:eastAsia="Times New Roman" w:hAnsi="Times New Roman"/>
      <w:b/>
      <w:bCs/>
      <w:color w:val="1F1F1F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ors1q-b2lsvsw_2gj9fhd" Type="http://schemas.openxmlformats.org/officeDocument/2006/relationships/hyperlink" Target="https://www.legislation.gov.uk/uksi/2017/692/contents" TargetMode="External"/><Relationship Id="rIdpo3cvgmwun9n5isazmykp" Type="http://schemas.openxmlformats.org/officeDocument/2006/relationships/hyperlink" Target="https://www.legislation.gov.uk/uksi/2026/621/contents/made" TargetMode="External"/><Relationship Id="rIdoxmbsn7nxbepgv-rs523o" Type="http://schemas.openxmlformats.org/officeDocument/2006/relationships/hyperlink" Target="https://www.gov.uk/hmrc-internal-manuals/anti-money-laundering-guidance-for-supervised-businesses/amlg1100" TargetMode="External"/><Relationship Id="rId7axynmzjeg5-ehsuc0ldx" Type="http://schemas.openxmlformats.org/officeDocument/2006/relationships/hyperlink" Target="https://www.gov.uk/hmrc-internal-manuals/anti-money-laundering-guidance-for-supervised-businesses/amlg1800" TargetMode="External"/><Relationship Id="rIdldpdx6ztx91vcxzdwl_6t" Type="http://schemas.openxmlformats.org/officeDocument/2006/relationships/hyperlink" Target="https://www.gov.uk/hmrc-internal-manuals/anti-money-laundering-guidance-for-supervised-businesses/amlg1900" TargetMode="External"/><Relationship Id="rIdpr4cagqvsxwgrsqncaymd" Type="http://schemas.openxmlformats.org/officeDocument/2006/relationships/hyperlink" Target="https://www.gov.uk/hmrc-internal-manuals/anti-money-laundering-guidance-for-supervised-businesses/amlg11300" TargetMode="External"/><Relationship Id="rIdpk9p3dfghuynexywlx8wj" Type="http://schemas.openxmlformats.org/officeDocument/2006/relationships/hyperlink" Target="https://www.gov.uk/hmrc-internal-manuals/anti-money-laundering-guidance-for-supervised-businesses/amlg11600" TargetMode="External"/><Relationship Id="rIdzsjy6bgyjh13ofrmirkbf" Type="http://schemas.openxmlformats.org/officeDocument/2006/relationships/hyperlink" Target="https://www.gov.uk/hmrc-internal-manuals/anti-money-laundering-guidance-for-supervised-businesses/amlg11100" TargetMode="External"/><Relationship Id="rIdg-1rnv4lr011ytbemtnia" Type="http://schemas.openxmlformats.org/officeDocument/2006/relationships/hyperlink" Target="https://www.gov.uk/hmrc-internal-manuals/anti-money-laundering-guidance-for-supervised-businesses/amlg11700" TargetMode="External"/><Relationship Id="rIdvbaii6jzgy9ej1rbz4qqp" Type="http://schemas.openxmlformats.org/officeDocument/2006/relationships/hyperlink" Target="https://www.gov.uk/hmrc-internal-manuals/anti-money-laundering-guidance-for-supervised-businesses/amlg11030" TargetMode="External"/><Relationship Id="rIduhtdui0-gbn0fxbjhf1ub" Type="http://schemas.openxmlformats.org/officeDocument/2006/relationships/hyperlink" Target="https://www.gov.uk/hmrc-internal-manuals/anti-money-laundering-guidance-for-supervised-businesses/amlg3700" TargetMode="External"/><Relationship Id="rId2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Northbank Accountancy Ltd: business-wide AML risk assessment</dc:title>
  <dc:subject>Accountancy service provider. Rule pack 2026-07-31.1. Sources reviewed 31 July 2026.</dc:subject>
  <dc:creator>Business Compliance Tools</dc:creator>
  <cp:keywords>compliance, evidence, gb</cp:keywords>
  <dc:description>Business-wide risk assessment</dc:description>
  <cp:lastModifiedBy>Business Compliance Tools</cp:lastModifiedBy>
  <cp:revision>1</cp:revision>
  <dcterms:created xsi:type="dcterms:W3CDTF">2026-08-07T13:51:09.903Z</dcterms:created>
  <dcterms:modified xsi:type="dcterms:W3CDTF">2026-08-07T13:51:09.903Z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