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20" w:before="100"/>
      </w:pPr>
      <w:r>
        <w:rPr>
          <w:rFonts w:ascii="Times New Roman" w:cs="Times New Roman" w:eastAsia="Times New Roman" w:hAnsi="Times New Roman"/>
          <w:b/>
          <w:bCs/>
          <w:color w:val="595959"/>
          <w:sz w:val="18"/>
          <w:szCs w:val="18"/>
        </w:rPr>
        <w:t xml:space="preserve">COMPLIANCE WORKING RECORD</w:t>
      </w:r>
    </w:p>
    <w:p>
      <w:pPr>
        <w:spacing w:after="100" w:line="500"/>
      </w:pPr>
      <w:r>
        <w:rPr>
          <w:rFonts w:ascii="Times New Roman" w:cs="Times New Roman" w:eastAsia="Times New Roman" w:hAnsi="Times New Roman"/>
          <w:b/>
          <w:bCs/>
          <w:color w:val="1F1F1F"/>
          <w:sz w:val="40"/>
          <w:szCs w:val="40"/>
        </w:rPr>
        <w:t xml:space="preserve">Foundry Gallery Ltd: business-wide AML risk assessment</w:t>
      </w:r>
    </w:p>
    <w:p>
      <w:pPr>
        <w:spacing w:after="320" w:line="34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Art market participant. Rule pack 2026-07-31.1. Sources reviewed 31 July 2026.</w:t>
      </w:r>
    </w:p>
    <w:p>
      <w:pPr>
        <w:pStyle w:val="Heading2"/>
      </w:pPr>
      <w:r>
        <w:t xml:space="preserve">Document control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3456"/>
        <w:gridCol w:w="5570"/>
      </w:tblGrid>
      <w:tr>
        <w:trPr>
          <w:cantSplit/>
          <w:tblHeader/>
        </w:trPr>
        <w:tc>
          <w:tcPr>
            <w:tcW w:type="dxa" w:w="3456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Field</w:t>
            </w:r>
          </w:p>
        </w:tc>
        <w:tc>
          <w:tcPr>
            <w:tcW w:type="dxa" w:w="5570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Value</w:t>
            </w:r>
          </w:p>
        </w:tc>
      </w:tr>
      <w:tr>
        <w:trPr>
          <w:cantSplit/>
        </w:trPr>
        <w:tc>
          <w:tcPr>
            <w:tcW w:type="dxa" w:w="345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Organisation</w:t>
            </w:r>
          </w:p>
        </w:tc>
        <w:tc>
          <w:tcPr>
            <w:tcW w:type="dxa" w:w="557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Foundry Gallery Ltd</w:t>
            </w:r>
          </w:p>
        </w:tc>
      </w:tr>
      <w:tr>
        <w:trPr>
          <w:cantSplit/>
        </w:trPr>
        <w:tc>
          <w:tcPr>
            <w:tcW w:type="dxa" w:w="345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Document type</w:t>
            </w:r>
          </w:p>
        </w:tc>
        <w:tc>
          <w:tcPr>
            <w:tcW w:type="dxa" w:w="557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Business-wide risk assessment</w:t>
            </w:r>
          </w:p>
        </w:tc>
      </w:tr>
      <w:tr>
        <w:trPr>
          <w:cantSplit/>
        </w:trPr>
        <w:tc>
          <w:tcPr>
            <w:tcW w:type="dxa" w:w="345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Document reference</w:t>
            </w:r>
          </w:p>
        </w:tc>
        <w:tc>
          <w:tcPr>
            <w:tcW w:type="dxa" w:w="557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AML-ART-MARKET-20260731</w:t>
            </w:r>
          </w:p>
        </w:tc>
      </w:tr>
      <w:tr>
        <w:trPr>
          <w:cantSplit/>
        </w:trPr>
        <w:tc>
          <w:tcPr>
            <w:tcW w:type="dxa" w:w="345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Jurisdiction</w:t>
            </w:r>
          </w:p>
        </w:tc>
        <w:tc>
          <w:tcPr>
            <w:tcW w:type="dxa" w:w="557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United Kingdom</w:t>
            </w:r>
          </w:p>
        </w:tc>
      </w:tr>
      <w:tr>
        <w:trPr>
          <w:cantSplit/>
        </w:trPr>
        <w:tc>
          <w:tcPr>
            <w:tcW w:type="dxa" w:w="345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Version</w:t>
            </w:r>
          </w:p>
        </w:tc>
        <w:tc>
          <w:tcPr>
            <w:tcW w:type="dxa" w:w="557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2026-07-31.1</w:t>
            </w:r>
          </w:p>
        </w:tc>
      </w:tr>
      <w:tr>
        <w:trPr>
          <w:cantSplit/>
        </w:trPr>
        <w:tc>
          <w:tcPr>
            <w:tcW w:type="dxa" w:w="345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Status</w:t>
            </w:r>
          </w:p>
        </w:tc>
        <w:tc>
          <w:tcPr>
            <w:tcW w:type="dxa" w:w="557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Ready for human approval</w:t>
            </w:r>
          </w:p>
        </w:tc>
      </w:tr>
      <w:tr>
        <w:trPr>
          <w:cantSplit/>
        </w:trPr>
        <w:tc>
          <w:tcPr>
            <w:tcW w:type="dxa" w:w="345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Classification</w:t>
            </w:r>
          </w:p>
        </w:tc>
        <w:tc>
          <w:tcPr>
            <w:tcW w:type="dxa" w:w="557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Sample document</w:t>
            </w:r>
          </w:p>
        </w:tc>
      </w:tr>
      <w:tr>
        <w:trPr>
          <w:cantSplit/>
        </w:trPr>
        <w:tc>
          <w:tcPr>
            <w:tcW w:type="dxa" w:w="345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Prepared by</w:t>
            </w:r>
          </w:p>
        </w:tc>
        <w:tc>
          <w:tcPr>
            <w:tcW w:type="dxa" w:w="557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</w:tr>
      <w:tr>
        <w:trPr>
          <w:cantSplit/>
        </w:trPr>
        <w:tc>
          <w:tcPr>
            <w:tcW w:type="dxa" w:w="345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Prepared on</w:t>
            </w:r>
          </w:p>
        </w:tc>
        <w:tc>
          <w:tcPr>
            <w:tcW w:type="dxa" w:w="557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45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Rule pack</w:t>
            </w:r>
          </w:p>
        </w:tc>
        <w:tc>
          <w:tcPr>
            <w:tcW w:type="dxa" w:w="557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2026-07-31.1</w:t>
            </w:r>
          </w:p>
        </w:tc>
      </w:tr>
      <w:tr>
        <w:trPr>
          <w:cantSplit/>
        </w:trPr>
        <w:tc>
          <w:tcPr>
            <w:tcW w:type="dxa" w:w="345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Sources reviewed</w:t>
            </w:r>
          </w:p>
        </w:tc>
        <w:tc>
          <w:tcPr>
            <w:tcW w:type="dxa" w:w="557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45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Generated</w:t>
            </w:r>
          </w:p>
        </w:tc>
        <w:tc>
          <w:tcPr>
            <w:tcW w:type="dxa" w:w="557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7 August 2026</w:t>
            </w:r>
          </w:p>
        </w:tc>
      </w:tr>
    </w:tbl>
    <w:p>
      <w:pPr>
        <w:pStyle w:val="Heading1"/>
        <w:pageBreakBefore/>
      </w:pPr>
      <w:r>
        <w:t xml:space="preserve">Review and approval record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4316"/>
        <w:gridCol w:w="4710"/>
      </w:tblGrid>
      <w:tr>
        <w:trPr>
          <w:cantSplit/>
          <w:tblHeader/>
        </w:trPr>
        <w:tc>
          <w:tcPr>
            <w:tcW w:type="dxa" w:w="4316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Field</w:t>
            </w:r>
          </w:p>
        </w:tc>
        <w:tc>
          <w:tcPr>
            <w:tcW w:type="dxa" w:w="4710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Value</w:t>
            </w:r>
          </w:p>
        </w:tc>
      </w:tr>
      <w:tr>
        <w:trPr>
          <w:cantSplit/>
        </w:trPr>
        <w:tc>
          <w:tcPr>
            <w:tcW w:type="dxa" w:w="431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Owner</w:t>
            </w:r>
          </w:p>
        </w:tc>
        <w:tc>
          <w:tcPr>
            <w:tcW w:type="dxa" w:w="471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</w:tr>
      <w:tr>
        <w:trPr>
          <w:cantSplit/>
        </w:trPr>
        <w:tc>
          <w:tcPr>
            <w:tcW w:type="dxa" w:w="431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Proposed approver</w:t>
            </w:r>
          </w:p>
        </w:tc>
        <w:tc>
          <w:tcPr>
            <w:tcW w:type="dxa" w:w="471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Managing director</w:t>
            </w:r>
          </w:p>
        </w:tc>
      </w:tr>
      <w:tr>
        <w:trPr>
          <w:cantSplit/>
        </w:trPr>
        <w:tc>
          <w:tcPr>
            <w:tcW w:type="dxa" w:w="431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Review date</w:t>
            </w:r>
          </w:p>
        </w:tc>
        <w:tc>
          <w:tcPr>
            <w:tcW w:type="dxa" w:w="471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431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Supervisor</w:t>
            </w:r>
          </w:p>
        </w:tc>
        <w:tc>
          <w:tcPr>
            <w:tcW w:type="dxa" w:w="471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</w:t>
            </w:r>
          </w:p>
        </w:tc>
      </w:tr>
      <w:tr>
        <w:trPr>
          <w:cantSplit/>
        </w:trPr>
        <w:tc>
          <w:tcPr>
            <w:tcW w:type="dxa" w:w="431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Registration reference</w:t>
            </w:r>
          </w:p>
        </w:tc>
        <w:tc>
          <w:tcPr>
            <w:tcW w:type="dxa" w:w="471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SAMPLE-AMP-001</w:t>
            </w:r>
          </w:p>
        </w:tc>
      </w:tr>
      <w:tr>
        <w:trPr>
          <w:cantSplit/>
        </w:trPr>
        <w:tc>
          <w:tcPr>
            <w:tcW w:type="dxa" w:w="431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Status</w:t>
            </w:r>
          </w:p>
        </w:tc>
        <w:tc>
          <w:tcPr>
            <w:tcW w:type="dxa" w:w="471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Ready for human approval</w:t>
            </w:r>
          </w:p>
        </w:tc>
      </w:tr>
    </w:tbl>
    <w:p>
      <w:pPr>
        <w:pStyle w:val="Heading1"/>
      </w:pPr>
      <w:r>
        <w:t xml:space="preserve">Business context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3362"/>
        <w:gridCol w:w="5664"/>
      </w:tblGrid>
      <w:tr>
        <w:trPr>
          <w:cantSplit/>
          <w:tblHeader/>
        </w:trPr>
        <w:tc>
          <w:tcPr>
            <w:tcW w:type="dxa" w:w="3362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Field</w:t>
            </w:r>
          </w:p>
        </w:tc>
        <w:tc>
          <w:tcPr>
            <w:tcW w:type="dxa" w:w="5664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Value</w:t>
            </w:r>
          </w:p>
        </w:tc>
      </w:tr>
      <w:tr>
        <w:trPr>
          <w:cantSplit/>
        </w:trPr>
        <w:tc>
          <w:tcPr>
            <w:tcW w:type="dxa" w:w="336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Trading name</w:t>
            </w:r>
          </w:p>
        </w:tc>
        <w:tc>
          <w:tcPr>
            <w:tcW w:type="dxa" w:w="566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Foundry Gallery Ltd</w:t>
            </w:r>
          </w:p>
        </w:tc>
      </w:tr>
      <w:tr>
        <w:trPr>
          <w:cantSplit/>
        </w:trPr>
        <w:tc>
          <w:tcPr>
            <w:tcW w:type="dxa" w:w="336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Locations</w:t>
            </w:r>
          </w:p>
        </w:tc>
        <w:tc>
          <w:tcPr>
            <w:tcW w:type="dxa" w:w="566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London gallery and an approved specialist storage facility</w:t>
            </w:r>
          </w:p>
        </w:tc>
      </w:tr>
      <w:tr>
        <w:trPr>
          <w:cantSplit/>
        </w:trPr>
        <w:tc>
          <w:tcPr>
            <w:tcW w:type="dxa" w:w="336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Customer types</w:t>
            </w:r>
          </w:p>
        </w:tc>
        <w:tc>
          <w:tcPr>
            <w:tcW w:type="dxa" w:w="566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Private collectors, estates, artists, galleries and corporate collections</w:t>
            </w:r>
          </w:p>
        </w:tc>
      </w:tr>
      <w:tr>
        <w:trPr>
          <w:cantSplit/>
        </w:trPr>
        <w:tc>
          <w:tcPr>
            <w:tcW w:type="dxa" w:w="336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Geographic exposure</w:t>
            </w:r>
          </w:p>
        </w:tc>
        <w:tc>
          <w:tcPr>
            <w:tcW w:type="dxa" w:w="566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United Kingdom, EEA, Switzerland and United States</w:t>
            </w:r>
          </w:p>
        </w:tc>
      </w:tr>
      <w:tr>
        <w:trPr>
          <w:cantSplit/>
        </w:trPr>
        <w:tc>
          <w:tcPr>
            <w:tcW w:type="dxa" w:w="336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Delivery channels</w:t>
            </w:r>
          </w:p>
        </w:tc>
        <w:tc>
          <w:tcPr>
            <w:tcW w:type="dxa" w:w="566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Gallery, art fair, private sale, website enquiry and approved intermediaries</w:t>
            </w:r>
          </w:p>
        </w:tc>
      </w:tr>
    </w:tbl>
    <w:p>
      <w:pPr>
        <w:pStyle w:val="Heading1"/>
      </w:pPr>
      <w:r>
        <w:t xml:space="preserve">Art market participant operating facts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3008"/>
        <w:gridCol w:w="3008"/>
        <w:gridCol w:w="3010"/>
      </w:tblGrid>
      <w:tr>
        <w:trPr>
          <w:cantSplit/>
          <w:tblHeader/>
        </w:trPr>
        <w:tc>
          <w:tcPr>
            <w:tcW w:type="dxa" w:w="3008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Operating fact</w:t>
            </w:r>
          </w:p>
        </w:tc>
        <w:tc>
          <w:tcPr>
            <w:tcW w:type="dxa" w:w="3008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Business answer</w:t>
            </w:r>
          </w:p>
        </w:tc>
        <w:tc>
          <w:tcPr>
            <w:tcW w:type="dxa" w:w="3010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Why it is recorded</w:t>
            </w:r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Transaction and role profile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The gallery acts as principal and intermediary in about 95 sales a year. Values usually range from £6,000 to £180,000, with linked transactions reviewed together.</w:t>
            </w:r>
          </w:p>
        </w:tc>
        <w:tc>
          <w:tcPr>
            <w:tcW w:type="dxa" w:w="301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Record annual volume, typical and maximum values and whether the business acts as principal or intermediary.</w:t>
            </w:r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Provenance, authenticity and valuation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Provenance, authenticity and valuation are documented before acquisition or consignment. Gaps require specialist review and written acceptance.</w:t>
            </w:r>
          </w:p>
        </w:tc>
        <w:tc>
          <w:tcPr>
            <w:tcW w:type="dxa" w:w="301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Describe evidence sources, specialist involvement and how gaps or value anomalies are escalated.</w:t>
            </w:r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Custody, storage and movement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Works are tracked by object reference across gallery, storage, fair and delivery locations. Release requires matched authority and transport records.</w:t>
            </w:r>
          </w:p>
        </w:tc>
        <w:tc>
          <w:tcPr>
            <w:tcW w:type="dxa" w:w="301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Record freeport, warehouse, shipping, consignee and cross-border arrangements.</w:t>
            </w:r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Principals, intermediaries and payments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Agents and advisers must disclose their principal. Payer, buyer, seller, collector and delivery party are matched, and unexplained third-party funding is escalated.</w:t>
            </w:r>
          </w:p>
        </w:tc>
        <w:tc>
          <w:tcPr>
            <w:tcW w:type="dxa" w:w="301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Describe how buyer, seller, principal, payer, consignee and beneficial owners are linked.</w:t>
            </w:r>
          </w:p>
        </w:tc>
      </w:tr>
    </w:tbl>
    <w:p>
      <w:pPr>
        <w:pStyle w:val="Heading1"/>
      </w:pPr>
      <w:r>
        <w:t xml:space="preserve">Activities assessed</w:t>
      </w:r>
    </w:p>
    <w:p>
      <w:pPr>
        <w:pStyle w:val="ListParagraph"/>
        <w:numPr>
          <w:ilvl w:val="0"/>
          <w:numId w:val="1"/>
        </w:numPr>
      </w:pPr>
      <w:r>
        <w:t xml:space="preserve">Gallery sales</w:t>
      </w:r>
    </w:p>
    <w:p>
      <w:pPr>
        <w:pStyle w:val="ListParagraph"/>
        <w:numPr>
          <w:ilvl w:val="0"/>
          <w:numId w:val="1"/>
        </w:numPr>
      </w:pPr>
      <w:r>
        <w:t xml:space="preserve">Dealer sales</w:t>
      </w:r>
    </w:p>
    <w:p>
      <w:pPr>
        <w:pStyle w:val="ListParagraph"/>
        <w:numPr>
          <w:ilvl w:val="0"/>
          <w:numId w:val="1"/>
        </w:numPr>
      </w:pPr>
      <w:r>
        <w:t xml:space="preserve">Auction sales</w:t>
      </w:r>
    </w:p>
    <w:p>
      <w:pPr>
        <w:pStyle w:val="ListParagraph"/>
        <w:numPr>
          <w:ilvl w:val="0"/>
          <w:numId w:val="1"/>
        </w:numPr>
      </w:pPr>
      <w:r>
        <w:t xml:space="preserve">Intermediary services</w:t>
      </w:r>
    </w:p>
    <w:p>
      <w:pPr>
        <w:pStyle w:val="Heading1"/>
      </w:pPr>
      <w:r>
        <w:t xml:space="preserve">Sector risks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2511"/>
        <w:gridCol w:w="1491"/>
        <w:gridCol w:w="2511"/>
        <w:gridCol w:w="2513"/>
      </w:tblGrid>
      <w:tr>
        <w:trPr>
          <w:cantSplit/>
          <w:tblHeader/>
        </w:trPr>
        <w:tc>
          <w:tcPr>
            <w:tcW w:type="dxa" w:w="2511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Risk</w:t>
            </w:r>
          </w:p>
        </w:tc>
        <w:tc>
          <w:tcPr>
            <w:tcW w:type="dxa" w:w="1491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Assessed risk level</w:t>
            </w:r>
          </w:p>
        </w:tc>
        <w:tc>
          <w:tcPr>
            <w:tcW w:type="dxa" w:w="2511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Business evidence or reasoning</w:t>
            </w:r>
          </w:p>
        </w:tc>
        <w:tc>
          <w:tcPr>
            <w:tcW w:type="dxa" w:w="2513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Review question</w:t>
            </w:r>
          </w:p>
        </w:tc>
      </w:tr>
      <w:tr>
        <w:trPr>
          <w:cantSplit/>
        </w:trPr>
        <w:tc>
          <w:tcPr>
            <w:tcW w:type="dxa" w:w="251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£10,000 transaction threshold</w:t>
            </w:r>
          </w:p>
        </w:tc>
        <w:tc>
          <w:tcPr>
            <w:tcW w:type="dxa" w:w="149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high</w:t>
            </w:r>
          </w:p>
        </w:tc>
        <w:tc>
          <w:tcPr>
            <w:tcW w:type="dxa" w:w="251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Individual and linked sales can meet the regulated transaction threshold. Values, related transactions and the gallery role are recorded before completion.</w:t>
            </w:r>
          </w:p>
        </w:tc>
        <w:tc>
          <w:tcPr>
            <w:tcW w:type="dxa" w:w="2513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Could a transaction or linked operations meet the current £10,000 art-market amount?</w:t>
            </w:r>
          </w:p>
        </w:tc>
      </w:tr>
      <w:tr>
        <w:trPr>
          <w:cantSplit/>
        </w:trPr>
        <w:tc>
          <w:tcPr>
            <w:tcW w:type="dxa" w:w="251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Agents and intermediaries</w:t>
            </w:r>
          </w:p>
        </w:tc>
        <w:tc>
          <w:tcPr>
            <w:tcW w:type="dxa" w:w="149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medium</w:t>
            </w:r>
          </w:p>
        </w:tc>
        <w:tc>
          <w:tcPr>
            <w:tcW w:type="dxa" w:w="251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Intermediaries are common in private sales. The principal, authority, fee and commercial purpose are confirmed rather than relying on the agent alone.</w:t>
            </w:r>
          </w:p>
        </w:tc>
        <w:tc>
          <w:tcPr>
            <w:tcW w:type="dxa" w:w="2513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Could an adviser, agent, auction representative or company obscure the principal?</w:t>
            </w:r>
          </w:p>
        </w:tc>
      </w:tr>
      <w:tr>
        <w:trPr>
          <w:cantSplit/>
        </w:trPr>
        <w:tc>
          <w:tcPr>
            <w:tcW w:type="dxa" w:w="251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Provenance and authenticity</w:t>
            </w:r>
          </w:p>
        </w:tc>
        <w:tc>
          <w:tcPr>
            <w:tcW w:type="dxa" w:w="149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high</w:t>
            </w:r>
          </w:p>
        </w:tc>
        <w:tc>
          <w:tcPr>
            <w:tcW w:type="dxa" w:w="251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Incomplete provenance or inconsistent valuation can conceal ownership and value. Specialist reports, title evidence and unresolved gaps are retained.</w:t>
            </w:r>
          </w:p>
        </w:tc>
        <w:tc>
          <w:tcPr>
            <w:tcW w:type="dxa" w:w="2513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Do gaps, unusual ownership history or authenticity concerns increase illicit-finance risk?</w:t>
            </w:r>
          </w:p>
        </w:tc>
      </w:tr>
      <w:tr>
        <w:trPr>
          <w:cantSplit/>
        </w:trPr>
        <w:tc>
          <w:tcPr>
            <w:tcW w:type="dxa" w:w="251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Portable and storable value</w:t>
            </w:r>
          </w:p>
        </w:tc>
        <w:tc>
          <w:tcPr>
            <w:tcW w:type="dxa" w:w="149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high</w:t>
            </w:r>
          </w:p>
        </w:tc>
        <w:tc>
          <w:tcPr>
            <w:tcW w:type="dxa" w:w="251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Art can hold portable and storable value. Object identity, custody, storage and release evidence are linked to the customer and transaction record.</w:t>
            </w:r>
          </w:p>
        </w:tc>
        <w:tc>
          <w:tcPr>
            <w:tcW w:type="dxa" w:w="2513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Could art be moved, stored or resold to transfer value or conceal ownership?</w:t>
            </w:r>
          </w:p>
        </w:tc>
      </w:tr>
      <w:tr>
        <w:trPr>
          <w:cantSplit/>
        </w:trPr>
        <w:tc>
          <w:tcPr>
            <w:tcW w:type="dxa" w:w="251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Third-party funds and settlement</w:t>
            </w:r>
          </w:p>
        </w:tc>
        <w:tc>
          <w:tcPr>
            <w:tcW w:type="dxa" w:w="149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high</w:t>
            </w:r>
          </w:p>
        </w:tc>
        <w:tc>
          <w:tcPr>
            <w:tcW w:type="dxa" w:w="251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Third-party settlement is not accepted without a documented relationship, authority and reason. Unexplained funding is escalated before release.</w:t>
            </w:r>
          </w:p>
        </w:tc>
        <w:tc>
          <w:tcPr>
            <w:tcW w:type="dxa" w:w="2513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Are payment, delivery or ownership split across different people or entities?</w:t>
            </w:r>
          </w:p>
        </w:tc>
      </w:tr>
      <w:tr>
        <w:trPr>
          <w:cantSplit/>
        </w:trPr>
        <w:tc>
          <w:tcPr>
            <w:tcW w:type="dxa" w:w="251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Country and sanctions exposure</w:t>
            </w:r>
          </w:p>
        </w:tc>
        <w:tc>
          <w:tcPr>
            <w:tcW w:type="dxa" w:w="149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medium</w:t>
            </w:r>
          </w:p>
        </w:tc>
        <w:tc>
          <w:tcPr>
            <w:tcW w:type="dxa" w:w="251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Cross-border transactions use dated country and sanctions checks. Shipping, customs and counterparties are matched to the transaction record.</w:t>
            </w:r>
          </w:p>
        </w:tc>
        <w:tc>
          <w:tcPr>
            <w:tcW w:type="dxa" w:w="2513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Do location, nationality, ownership, shipping or storage create sanctions or corruption exposure?</w:t>
            </w:r>
          </w:p>
        </w:tc>
      </w:tr>
    </w:tbl>
    <w:p>
      <w:pPr>
        <w:spacing w:after="80"/>
      </w:pP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3072"/>
        <w:gridCol w:w="3072"/>
        <w:gridCol w:w="1728"/>
        <w:gridCol w:w="1154"/>
      </w:tblGrid>
      <w:tr>
        <w:trPr>
          <w:cantSplit/>
          <w:tblHeader/>
        </w:trPr>
        <w:tc>
          <w:tcPr>
            <w:tcW w:type="dxa" w:w="3072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Risk</w:t>
            </w:r>
          </w:p>
        </w:tc>
        <w:tc>
          <w:tcPr>
            <w:tcW w:type="dxa" w:w="3072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Possible controls to tailor</w:t>
            </w:r>
          </w:p>
        </w:tc>
        <w:tc>
          <w:tcPr>
            <w:tcW w:type="dxa" w:w="1728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Owner</w:t>
            </w:r>
          </w:p>
        </w:tc>
        <w:tc>
          <w:tcPr>
            <w:tcW w:type="dxa" w:w="1154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Review date</w:t>
            </w:r>
          </w:p>
        </w:tc>
      </w:tr>
      <w:tr>
        <w:trPr>
          <w:cantSplit/>
        </w:trPr>
        <w:tc>
          <w:tcPr>
            <w:tcW w:type="dxa" w:w="307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£10,000 transaction threshold</w:t>
            </w:r>
          </w:p>
        </w:tc>
        <w:tc>
          <w:tcPr>
            <w:tcW w:type="dxa" w:w="307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Record value and linked-operation reasoning; Identify relevant buyer and seller parties; Apply due diligence at the required point</w:t>
            </w:r>
          </w:p>
        </w:tc>
        <w:tc>
          <w:tcPr>
            <w:tcW w:type="dxa" w:w="17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  <w:tc>
          <w:tcPr>
            <w:tcW w:type="dxa" w:w="115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07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Agents and intermediaries</w:t>
            </w:r>
          </w:p>
        </w:tc>
        <w:tc>
          <w:tcPr>
            <w:tcW w:type="dxa" w:w="307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Identify the principal and authority; Record acting-person evidence; Escalate undisclosed or changing principals</w:t>
            </w:r>
          </w:p>
        </w:tc>
        <w:tc>
          <w:tcPr>
            <w:tcW w:type="dxa" w:w="17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  <w:tc>
          <w:tcPr>
            <w:tcW w:type="dxa" w:w="115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07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Provenance and authenticity</w:t>
            </w:r>
          </w:p>
        </w:tc>
        <w:tc>
          <w:tcPr>
            <w:tcW w:type="dxa" w:w="307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Record provenance sources and gaps; Keep valuation and authenticity references; Escalate inconsistencies rather than treating documents as conclusive</w:t>
            </w:r>
          </w:p>
        </w:tc>
        <w:tc>
          <w:tcPr>
            <w:tcW w:type="dxa" w:w="17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  <w:tc>
          <w:tcPr>
            <w:tcW w:type="dxa" w:w="115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07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Portable and storable value</w:t>
            </w:r>
          </w:p>
        </w:tc>
        <w:tc>
          <w:tcPr>
            <w:tcW w:type="dxa" w:w="307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Record custody, location and counterparties; Review freeport and cross-border movement; Connect controls to the transaction risk</w:t>
            </w:r>
          </w:p>
        </w:tc>
        <w:tc>
          <w:tcPr>
            <w:tcW w:type="dxa" w:w="17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  <w:tc>
          <w:tcPr>
            <w:tcW w:type="dxa" w:w="115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07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Third-party funds and settlement</w:t>
            </w:r>
          </w:p>
        </w:tc>
        <w:tc>
          <w:tcPr>
            <w:tcW w:type="dxa" w:w="307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Map payer, buyer, seller, consignee and beneficial owners; Record the commercial explanation; Escalate unexplained arrangements</w:t>
            </w:r>
          </w:p>
        </w:tc>
        <w:tc>
          <w:tcPr>
            <w:tcW w:type="dxa" w:w="17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  <w:tc>
          <w:tcPr>
            <w:tcW w:type="dxa" w:w="115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07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Country and sanctions exposure</w:t>
            </w:r>
          </w:p>
        </w:tc>
        <w:tc>
          <w:tcPr>
            <w:tcW w:type="dxa" w:w="307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Use current official sanctions and country-risk sources; Record source dates; Keep screening evidence separate from the legal decision</w:t>
            </w:r>
          </w:p>
        </w:tc>
        <w:tc>
          <w:tcPr>
            <w:tcW w:type="dxa" w:w="17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  <w:tc>
          <w:tcPr>
            <w:tcW w:type="dxa" w:w="115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</w:tbl>
    <w:p>
      <w:pPr>
        <w:pStyle w:val="Heading1"/>
      </w:pPr>
      <w:r>
        <w:t xml:space="preserve">Mandatory risk-factor prompts</w:t>
      </w:r>
    </w:p>
    <w:p>
      <w:pPr>
        <w:pStyle w:val="ListParagraph"/>
        <w:numPr>
          <w:ilvl w:val="0"/>
          <w:numId w:val="1"/>
        </w:numPr>
      </w:pPr>
      <w:r>
        <w:t xml:space="preserve">Customers and beneficial owners</w:t>
      </w:r>
    </w:p>
    <w:p>
      <w:pPr>
        <w:pStyle w:val="ListParagraph"/>
        <w:numPr>
          <w:ilvl w:val="0"/>
          <w:numId w:val="1"/>
        </w:numPr>
      </w:pPr>
      <w:r>
        <w:t xml:space="preserve">Countries and geographic areas</w:t>
      </w:r>
    </w:p>
    <w:p>
      <w:pPr>
        <w:pStyle w:val="ListParagraph"/>
        <w:numPr>
          <w:ilvl w:val="0"/>
          <w:numId w:val="1"/>
        </w:numPr>
      </w:pPr>
      <w:r>
        <w:t xml:space="preserve">Products, services and transactions</w:t>
      </w:r>
    </w:p>
    <w:p>
      <w:pPr>
        <w:pStyle w:val="ListParagraph"/>
        <w:numPr>
          <w:ilvl w:val="0"/>
          <w:numId w:val="1"/>
        </w:numPr>
      </w:pPr>
      <w:r>
        <w:t xml:space="preserve">Delivery channels</w:t>
      </w:r>
    </w:p>
    <w:p>
      <w:pPr>
        <w:pStyle w:val="ListParagraph"/>
        <w:numPr>
          <w:ilvl w:val="0"/>
          <w:numId w:val="1"/>
        </w:numPr>
      </w:pPr>
      <w:r>
        <w:t xml:space="preserve">Money laundering and terrorist financing</w:t>
      </w:r>
    </w:p>
    <w:p>
      <w:pPr>
        <w:pStyle w:val="ListParagraph"/>
        <w:numPr>
          <w:ilvl w:val="0"/>
          <w:numId w:val="1"/>
        </w:numPr>
      </w:pPr>
      <w:r>
        <w:t xml:space="preserve">Proliferation financing</w:t>
      </w:r>
    </w:p>
    <w:p>
      <w:pPr>
        <w:pStyle w:val="Heading1"/>
      </w:pPr>
      <w:r>
        <w:t xml:space="preserve">Approval record</w:t>
      </w:r>
    </w:p>
    <w:p>
      <w:r>
        <w:t xml:space="preserve">The authorised approver must confirm that the assessment reflects the actual business and that selected controls are proportionate. The tool does not supply that approval.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3131"/>
        <w:gridCol w:w="5895"/>
      </w:tblGrid>
      <w:tr>
        <w:trPr>
          <w:cantSplit/>
          <w:tblHeader/>
        </w:trPr>
        <w:tc>
          <w:tcPr>
            <w:tcW w:type="dxa" w:w="3131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Field</w:t>
            </w:r>
          </w:p>
        </w:tc>
        <w:tc>
          <w:tcPr>
            <w:tcW w:type="dxa" w:w="5895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Value</w:t>
            </w:r>
          </w:p>
        </w:tc>
      </w:tr>
      <w:tr>
        <w:trPr>
          <w:cantSplit/>
        </w:trPr>
        <w:tc>
          <w:tcPr>
            <w:tcW w:type="dxa" w:w="313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Proposed approver</w:t>
            </w:r>
          </w:p>
        </w:tc>
        <w:tc>
          <w:tcPr>
            <w:tcW w:type="dxa" w:w="5895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Managing director</w:t>
            </w:r>
          </w:p>
        </w:tc>
      </w:tr>
      <w:tr>
        <w:trPr>
          <w:cantSplit/>
        </w:trPr>
        <w:tc>
          <w:tcPr>
            <w:tcW w:type="dxa" w:w="313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Approval date</w:t>
            </w:r>
          </w:p>
        </w:tc>
        <w:tc>
          <w:tcPr>
            <w:tcW w:type="dxa" w:w="5895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Complete after review</w:t>
            </w:r>
          </w:p>
        </w:tc>
      </w:tr>
      <w:tr>
        <w:trPr>
          <w:cantSplit/>
        </w:trPr>
        <w:tc>
          <w:tcPr>
            <w:tcW w:type="dxa" w:w="313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Decision</w:t>
            </w:r>
          </w:p>
        </w:tc>
        <w:tc>
          <w:tcPr>
            <w:tcW w:type="dxa" w:w="5895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Approve, approve with actions, or return for revision</w:t>
            </w:r>
          </w:p>
        </w:tc>
      </w:tr>
      <w:tr>
        <w:trPr>
          <w:cantSplit/>
        </w:trPr>
        <w:tc>
          <w:tcPr>
            <w:tcW w:type="dxa" w:w="313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Next review</w:t>
            </w:r>
          </w:p>
        </w:tc>
        <w:tc>
          <w:tcPr>
            <w:tcW w:type="dxa" w:w="5895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2027</w:t>
            </w:r>
          </w:p>
        </w:tc>
      </w:tr>
      <w:tr>
        <w:trPr>
          <w:cantSplit/>
        </w:trPr>
        <w:tc>
          <w:tcPr>
            <w:tcW w:type="dxa" w:w="313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Status</w:t>
            </w:r>
          </w:p>
        </w:tc>
        <w:tc>
          <w:tcPr>
            <w:tcW w:type="dxa" w:w="5895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Ready for human approval</w:t>
            </w:r>
          </w:p>
        </w:tc>
      </w:tr>
    </w:tbl>
    <w:p>
      <w:pPr>
        <w:pStyle w:val="Heading1"/>
        <w:keepNext/>
      </w:pPr>
      <w:r>
        <w:t xml:space="preserve">Assumptions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Organisation entered by the user: Foundry Gallery Ltd.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Sector route selected by the user: Art market participant.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Supervisor entered by the user: HM Revenue &amp; Customs.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Selected activities: Gallery sales, Dealer sales, Auction sales, Intermediary services.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Transaction and role profile: The gallery acts as principal and intermediary in about 95 sales a year. Values usually range from £6,000 to £180,000, with linked transactions reviewed together.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Provenance, authenticity and valuation: Provenance, authenticity and valuation are documented before acquisition or consignment. Gaps require specialist review and written acceptance.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Custody, storage and movement: Works are tracked by object reference across gallery, storage, fair and delivery locations. Release requires matched authority and transport records.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Principals, intermediaries and payments: Agents and advisers must disclose their principal. Payer, buyer, seller, collector and delivery party are matched, and unexplained third-party funding is escalated.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Risk ratings supplied for 6 of 6 prompted sector risks.</w:t>
      </w:r>
    </w:p>
    <w:p>
      <w:pPr>
        <w:pStyle w:val="ListParagraph"/>
        <w:keepNext w:val="false"/>
        <w:keepLines/>
        <w:numPr>
          <w:ilvl w:val="0"/>
          <w:numId w:val="1"/>
        </w:numPr>
      </w:pPr>
      <w:r>
        <w:t xml:space="preserve">Scope assumptions entered by the user: This is a fictional sample for product inspection. The organisation, references and operating facts are not real. A purchaser must replace them with its own confirmed information before review and approval.</w:t>
      </w:r>
    </w:p>
    <w:p>
      <w:pPr>
        <w:pStyle w:val="Heading1"/>
        <w:keepNext/>
      </w:pPr>
      <w:r>
        <w:t xml:space="preserve">Limitations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This is a structured starter pack. It does not determine regulatory scope, supervision, risk level, control adequacy, customer acceptance, suspicion or reporting.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Suggested controls are drafting prompts. The organisation must tailor, approve, implement and evidence them.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The pack does not screen customers or transactions and does not connect to HMRC, a professional body, the NCA or any sanctions service.</w:t>
      </w:r>
    </w:p>
    <w:p>
      <w:pPr>
        <w:pStyle w:val="ListParagraph"/>
        <w:keepNext w:val="false"/>
        <w:keepLines/>
        <w:numPr>
          <w:ilvl w:val="0"/>
          <w:numId w:val="1"/>
        </w:numPr>
      </w:pPr>
      <w:r>
        <w:t xml:space="preserve">Law, guidance, services and risks can change. Review the cited source versions before approval and after material change.</w:t>
      </w:r>
    </w:p>
    <w:p>
      <w:pPr>
        <w:pStyle w:val="Heading1"/>
        <w:pageBreakBefore/>
      </w:pPr>
      <w:r>
        <w:t xml:space="preserve">Official sources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3008"/>
        <w:gridCol w:w="3008"/>
        <w:gridCol w:w="1128"/>
        <w:gridCol w:w="1882"/>
      </w:tblGrid>
      <w:tr>
        <w:trPr>
          <w:cantSplit/>
          <w:tblHeader/>
        </w:trPr>
        <w:tc>
          <w:tcPr>
            <w:tcW w:type="dxa" w:w="3008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Source</w:t>
            </w:r>
          </w:p>
        </w:tc>
        <w:tc>
          <w:tcPr>
            <w:tcW w:type="dxa" w:w="3008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Provision</w:t>
            </w:r>
          </w:p>
        </w:tc>
        <w:tc>
          <w:tcPr>
            <w:tcW w:type="dxa" w:w="1128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Reviewed</w:t>
            </w:r>
          </w:p>
        </w:tc>
        <w:tc>
          <w:tcPr>
            <w:tcW w:type="dxa" w:w="1882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Link</w:t>
            </w:r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UK Legislation: Money Laundering, Terrorist Financing and Transfer of Funds Regulations 2017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Regulations 18, 18A, 19, 21, 27 to 40 and 46</w:t>
            </w:r>
          </w:p>
        </w:tc>
        <w:tc>
          <w:tcPr>
            <w:tcW w:type="dxa" w:w="11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yjnkzcglymgormnjryw8b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UK Legislation: Money Laundering and Terrorist Financing (Amendment) Regulations 2026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SI 2026/621</w:t>
            </w:r>
          </w:p>
        </w:tc>
        <w:tc>
          <w:tcPr>
            <w:tcW w:type="dxa" w:w="11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hqbhnt6h0ksi3gjfbqoks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Guidance for all sectors: Introduction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tcW w:type="dxa" w:w="11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bdszngn-lv62yvvrbxv1t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Business risk assessment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Regulations 18 and 18A</w:t>
            </w:r>
          </w:p>
        </w:tc>
        <w:tc>
          <w:tcPr>
            <w:tcW w:type="dxa" w:w="11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7tm2w0jlxhahepxkdpw9_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Policies, controls and procedures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 19</w:t>
            </w:r>
          </w:p>
        </w:tc>
        <w:tc>
          <w:tcPr>
            <w:tcW w:type="dxa" w:w="11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zozgmlidxzyssb3n_zrr5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Customer due diligence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Regulations 27 to 32</w:t>
            </w:r>
          </w:p>
        </w:tc>
        <w:tc>
          <w:tcPr>
            <w:tcW w:type="dxa" w:w="11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7ts4gnyhplcnqtcpmgxto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Enhanced due diligence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Regulations 33 and 35</w:t>
            </w:r>
          </w:p>
        </w:tc>
        <w:tc>
          <w:tcPr>
            <w:tcW w:type="dxa" w:w="11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g5doxsit63gh29fmlmdgh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Suspicious activity reports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tcW w:type="dxa" w:w="11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rcfrjpmf53oqry_ouuevp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Record keeping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 40</w:t>
            </w:r>
          </w:p>
        </w:tc>
        <w:tc>
          <w:tcPr>
            <w:tcW w:type="dxa" w:w="11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mp3m6hzr7vejb4nhnhu-0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Training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 21</w:t>
            </w:r>
          </w:p>
        </w:tc>
        <w:tc>
          <w:tcPr>
            <w:tcW w:type="dxa" w:w="11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7kdlzlae7d1f_7sjieblc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Art market participant guidance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tcW w:type="dxa" w:w="11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7mdq1pqmzkctxpij56c6f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Times New Roman" w:cs="Times New Roman" w:eastAsia="Times New Roman" w:hAnsi="Times New Roman"/>
        <w:color w:val="595959"/>
        <w:sz w:val="17"/>
        <w:szCs w:val="17"/>
      </w:rPr>
      <w:t xml:space="preserve">Page </w:t>
    </w:r>
    <w:r>
      <w:rPr>
        <w:rFonts w:ascii="Times New Roman" w:cs="Times New Roman" w:eastAsia="Times New Roman" w:hAnsi="Times New Roman"/>
        <w:color w:val="595959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9D9D9" w:sz="2"/>
      </w:pBdr>
      <w:spacing w:after="80"/>
    </w:pPr>
    <w:r>
      <w:rPr>
        <w:rFonts w:ascii="Times New Roman" w:cs="Times New Roman" w:eastAsia="Times New Roman" w:hAnsi="Times New Roman"/>
        <w:color w:val="595959"/>
        <w:sz w:val="17"/>
        <w:szCs w:val="17"/>
      </w:rPr>
      <w:t xml:space="preserve">Business Compliance Tools</w:t>
    </w:r>
    <w:r>
      <w:rPr>
        <w:rFonts w:ascii="Times New Roman" w:cs="Times New Roman" w:eastAsia="Times New Roman" w:hAnsi="Times New Roman"/>
        <w:color w:val="595959"/>
        <w:sz w:val="17"/>
        <w:szCs w:val="17"/>
      </w:rPr>
      <w:t xml:space="preserve">  |  AML-ART-MARKET-20260731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1F1F1F"/>
        <w:sz w:val="22"/>
        <w:szCs w:val="22"/>
      </w:rPr>
    </w:rPrDefault>
    <w:pPrDefault>
      <w:pPr>
        <w:spacing w:after="120" w:before="0"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keepNext/>
      <w:spacing w:after="160" w:before="320"/>
    </w:pPr>
    <w:rPr>
      <w:rFonts w:ascii="Times New Roman" w:cs="Times New Roman" w:eastAsia="Times New Roman" w:hAnsi="Times New Roman"/>
      <w:b/>
      <w:bCs/>
      <w:color w:val="1F1F1F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spacing w:after="120" w:before="240"/>
    </w:pPr>
    <w:rPr>
      <w:rFonts w:ascii="Times New Roman" w:cs="Times New Roman" w:eastAsia="Times New Roman" w:hAnsi="Times New Roman"/>
      <w:b/>
      <w:bCs/>
      <w:color w:val="1F1F1F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yjnkzcglymgormnjryw8b" Type="http://schemas.openxmlformats.org/officeDocument/2006/relationships/hyperlink" Target="https://www.legislation.gov.uk/uksi/2017/692/contents" TargetMode="External"/><Relationship Id="rIdhqbhnt6h0ksi3gjfbqoks" Type="http://schemas.openxmlformats.org/officeDocument/2006/relationships/hyperlink" Target="https://www.legislation.gov.uk/uksi/2026/621/contents/made" TargetMode="External"/><Relationship Id="rIdbdszngn-lv62yvvrbxv1t" Type="http://schemas.openxmlformats.org/officeDocument/2006/relationships/hyperlink" Target="https://www.gov.uk/hmrc-internal-manuals/anti-money-laundering-guidance-for-supervised-businesses/amlg1100" TargetMode="External"/><Relationship Id="rId7tm2w0jlxhahepxkdpw9_" Type="http://schemas.openxmlformats.org/officeDocument/2006/relationships/hyperlink" Target="https://www.gov.uk/hmrc-internal-manuals/anti-money-laundering-guidance-for-supervised-businesses/amlg1800" TargetMode="External"/><Relationship Id="rIdzozgmlidxzyssb3n_zrr5" Type="http://schemas.openxmlformats.org/officeDocument/2006/relationships/hyperlink" Target="https://www.gov.uk/hmrc-internal-manuals/anti-money-laundering-guidance-for-supervised-businesses/amlg1900" TargetMode="External"/><Relationship Id="rId7ts4gnyhplcnqtcpmgxto" Type="http://schemas.openxmlformats.org/officeDocument/2006/relationships/hyperlink" Target="https://www.gov.uk/hmrc-internal-manuals/anti-money-laundering-guidance-for-supervised-businesses/amlg11300" TargetMode="External"/><Relationship Id="rIdg5doxsit63gh29fmlmdgh" Type="http://schemas.openxmlformats.org/officeDocument/2006/relationships/hyperlink" Target="https://www.gov.uk/hmrc-internal-manuals/anti-money-laundering-guidance-for-supervised-businesses/amlg11600" TargetMode="External"/><Relationship Id="rIdrcfrjpmf53oqry_ouuevp" Type="http://schemas.openxmlformats.org/officeDocument/2006/relationships/hyperlink" Target="https://www.gov.uk/hmrc-internal-manuals/anti-money-laundering-guidance-for-supervised-businesses/amlg11100" TargetMode="External"/><Relationship Id="rIdmp3m6hzr7vejb4nhnhu-0" Type="http://schemas.openxmlformats.org/officeDocument/2006/relationships/hyperlink" Target="https://www.gov.uk/hmrc-internal-manuals/anti-money-laundering-guidance-for-supervised-businesses/amlg11700" TargetMode="External"/><Relationship Id="rId7kdlzlae7d1f_7sjieblc" Type="http://schemas.openxmlformats.org/officeDocument/2006/relationships/hyperlink" Target="https://www.gov.uk/hmrc-internal-manuals/anti-money-laundering-guidance-for-supervised-businesses/amlg11030" TargetMode="External"/><Relationship Id="rId7mdq1pqmzkctxpij56c6f" Type="http://schemas.openxmlformats.org/officeDocument/2006/relationships/hyperlink" Target="https://www.gov.uk/hmrc-internal-manuals/anti-money-laundering-guidance-for-supervised-businesses/amlg2100" TargetMode="External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Foundry Gallery Ltd: business-wide AML risk assessment</dc:title>
  <dc:subject>Art market participant. Rule pack 2026-07-31.1. Sources reviewed 31 July 2026.</dc:subject>
  <dc:creator>Business Compliance Tools</dc:creator>
  <cp:keywords>compliance, evidence, gb</cp:keywords>
  <dc:description>Business-wide risk assessment</dc:description>
  <cp:lastModifiedBy>Business Compliance Tools</cp:lastModifiedBy>
  <cp:revision>1</cp:revision>
  <dcterms:created xsi:type="dcterms:W3CDTF">2026-08-07T13:51:10.306Z</dcterms:created>
  <dcterms:modified xsi:type="dcterms:W3CDTF">2026-08-07T13:51:10.306Z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