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Westgate Classic Cars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High value dealer.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84"/>
        <w:gridCol w:w="5642"/>
      </w:tblGrid>
      <w:tr>
        <w:trPr>
          <w:cantSplit/>
          <w:tblHeader/>
        </w:trPr>
        <w:tc>
          <w:tcPr>
            <w:tcW w:type="dxa" w:w="338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4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Westgate Classic Cars Ltd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AML-HIGH-VALUE-DEALER-20260731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SAMPLE-HVD-001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Westgate Classic Cars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Leeds showroom and secure vehicle storage site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Private collectors, specialist dealers and corporate buyers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 with occasional EEA sales and purchases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Showroom, telephone, website enquiry and approved auction partners</w:t>
            </w:r>
          </w:p>
        </w:tc>
      </w:tr>
    </w:tbl>
    <w:p>
      <w:pPr>
        <w:pStyle w:val="Heading1"/>
      </w:pPr>
      <w:r>
        <w:t xml:space="preserve">High-value dealer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Goods and transaction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business buys and sells around 85 vehicles a year, usually valued between £35,000 and £240,000. Part-exchange is accepted after ownership checks.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main goods, typical and maximum values, annual volume and resale characteristics.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 acceptance and aggregation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cash policy caps total linked cash payments below the regulated threshold. Sales staff record connected payments and refer any exception before accepting funds.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where cash is accepted, who can accept it and how linked operations are identified.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Payers, collectors and delivery parties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named buyer normally pays and collects. Third-party payers or collectors require recorded authority, relationship and source information.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common third-party payment or collection arrangements and the approval route.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trade and shipping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About 12 per cent of vehicles are purchased from or sold to EEA counterparties. Shipping, title and payment records are matched to the customer file.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material origin, destination, customs, shipping and sanctions exposure.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Vehicles</w:t>
      </w:r>
    </w:p>
    <w:p>
      <w:pPr>
        <w:pStyle w:val="ListParagraph"/>
        <w:numPr>
          <w:ilvl w:val="0"/>
          <w:numId w:val="1"/>
        </w:numPr>
      </w:pPr>
      <w:r>
        <w:t xml:space="preserve">Jewellery or watches</w:t>
      </w:r>
    </w:p>
    <w:p>
      <w:pPr>
        <w:pStyle w:val="ListParagraph"/>
        <w:numPr>
          <w:ilvl w:val="0"/>
          <w:numId w:val="1"/>
        </w:numPr>
      </w:pPr>
      <w:r>
        <w:t xml:space="preserve">Precious metals or stones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£10,000 cash threshold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business records linked cash payments across deposits and balances. Any potential threshold transaction is stopped until scope and checks are confirmed.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 cash transaction or linked operations reach the current £10,000 amount?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 structuring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Sales staff are trained to identify split or repeated cash payments. Connected transactions are aggregated and exceptions require manager approval.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deposits, instalments, connected buyers or multiple invoices be used to avoid controls?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Portable or readily resalable goods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Classic vehicles are portable, valuable and readily resalable. Title, provenance, valuation and delivery evidence are retained with the customer record.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Can the goods move across borders or be converted to cash easily?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payment or collection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payers and collectors occur occasionally. The relationship, authority and commercial reason must be evidenced before completion.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Is a different person paying, collecting or receiving the goods?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 of funds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high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Large purchases require a proportionate source-of-funds record, including payer identity and the payment account. Unexplained funding is escalated.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risk require further evidence about how the cash or value was obtained?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trade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sales are a limited part of activity. Country, sanctions, shipping and title checks are recorded using dated sources.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origin, destination, customer or goods create country, customs or sanctions exposure?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£10,000 cash threshold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aggregation and linked-transaction facts; Apply customer due diligence at the required point; Retain the scope and payment evidence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Cash structuring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Aggregate connected activity; Record the connection and explanation; Escalate suspicious patterns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Portable or readily resalable goods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Risk-rate goods and transaction types; Record serial, valuation and provenance evidence where appropriate; Review unusual discounts or premiums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payment or collection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Identify the parties and authority; Record the commercial reason; Escalate unexplained arrangements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 of funds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decision and evidence reference; Use additional measures where required; Do not treat a document alone as proof of legitimacy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Cross-border trade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Use current sanctions and country-risk sources; Record shipping and counterparties; Escalate inconsistencies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Westgate Classic Cars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High value dealer.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Vehicles, Jewellery or watches, Precious metals or stones.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Goods and transaction profile: The business buys and sells around 85 vehicles a year, usually valued between £35,000 and £240,000. Part-exchange is accepted after ownership checks.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Cash acceptance and aggregation: The cash policy caps total linked cash payments below the regulated threshold. Sales staff record connected payments and refer any exception before accepting funds.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Payers, collectors and delivery parties: The named buyer normally pays and collects. Third-party payers or collectors require recorded authority, relationship and source information.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Cross-border trade and shipping: About 12 per cent of vehicles are purchased from or sold to EEA counterparties. Shipping, title and payment records are matched to the customer file.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2fhci86jxylllqih5ji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e2rocjk2kcjzvtqvjeuxl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swikke7koqmveyckvuqoo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umobr9wmqdarddwwl76j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mn5tx5ak8nn0libpkpur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qu3ntvi5_3tadtwpgrizc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8qylttwdam7utdduikvnx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ol7kx29pu8hirmxognacw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nfxq6rkjbs1chjta_qey6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qrtr808i3erdclsnnakfu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High value dealer guidance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mkqkv3kpl5voi8la2d-c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AML-HIGH-VALUE-DEALER-20260731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g2fhci86jxylllqih5jit" Type="http://schemas.openxmlformats.org/officeDocument/2006/relationships/hyperlink" Target="https://www.legislation.gov.uk/uksi/2017/692/contents" TargetMode="External"/><Relationship Id="rIde2rocjk2kcjzvtqvjeuxl" Type="http://schemas.openxmlformats.org/officeDocument/2006/relationships/hyperlink" Target="https://www.legislation.gov.uk/uksi/2026/621/contents/made" TargetMode="External"/><Relationship Id="rIdswikke7koqmveyckvuqoo" Type="http://schemas.openxmlformats.org/officeDocument/2006/relationships/hyperlink" Target="https://www.gov.uk/hmrc-internal-manuals/anti-money-laundering-guidance-for-supervised-businesses/amlg1100" TargetMode="External"/><Relationship Id="rIdumobr9wmqdarddwwl76jx" Type="http://schemas.openxmlformats.org/officeDocument/2006/relationships/hyperlink" Target="https://www.gov.uk/hmrc-internal-manuals/anti-money-laundering-guidance-for-supervised-businesses/amlg1800" TargetMode="External"/><Relationship Id="rIdmn5tx5ak8nn0libpkpurx" Type="http://schemas.openxmlformats.org/officeDocument/2006/relationships/hyperlink" Target="https://www.gov.uk/hmrc-internal-manuals/anti-money-laundering-guidance-for-supervised-businesses/amlg1900" TargetMode="External"/><Relationship Id="rIdqu3ntvi5_3tadtwpgrizc" Type="http://schemas.openxmlformats.org/officeDocument/2006/relationships/hyperlink" Target="https://www.gov.uk/hmrc-internal-manuals/anti-money-laundering-guidance-for-supervised-businesses/amlg11300" TargetMode="External"/><Relationship Id="rId8qylttwdam7utdduikvnx" Type="http://schemas.openxmlformats.org/officeDocument/2006/relationships/hyperlink" Target="https://www.gov.uk/hmrc-internal-manuals/anti-money-laundering-guidance-for-supervised-businesses/amlg11600" TargetMode="External"/><Relationship Id="rIdol7kx29pu8hirmxognacw" Type="http://schemas.openxmlformats.org/officeDocument/2006/relationships/hyperlink" Target="https://www.gov.uk/hmrc-internal-manuals/anti-money-laundering-guidance-for-supervised-businesses/amlg11100" TargetMode="External"/><Relationship Id="rIdnfxq6rkjbs1chjta_qey6" Type="http://schemas.openxmlformats.org/officeDocument/2006/relationships/hyperlink" Target="https://www.gov.uk/hmrc-internal-manuals/anti-money-laundering-guidance-for-supervised-businesses/amlg11700" TargetMode="External"/><Relationship Id="rIdqrtr808i3erdclsnnakfu" Type="http://schemas.openxmlformats.org/officeDocument/2006/relationships/hyperlink" Target="https://www.gov.uk/hmrc-internal-manuals/anti-money-laundering-guidance-for-supervised-businesses/amlg11030" TargetMode="External"/><Relationship Id="rIdgmkqkv3kpl5voi8la2d-c" Type="http://schemas.openxmlformats.org/officeDocument/2006/relationships/hyperlink" Target="https://www.gov.uk/hmrc-internal-manuals/anti-money-laundering-guidance-for-supervised-businesses/amlg2600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Westgate Classic Cars Ltd: business-wide AML risk assessment</dc:title>
  <dc:subject>High value dealer.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2026-08-07T13:51:10.204Z</dcterms:created>
  <dcterms:modified xsi:type="dcterms:W3CDTF">2026-08-07T13:51:10.204Z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