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100"/>
      </w:pPr>
      <w:r>
        <w:rPr>
          <w:rFonts w:ascii="Times New Roman" w:cs="Times New Roman" w:eastAsia="Times New Roman" w:hAnsi="Times New Roman"/>
          <w:b/>
          <w:bCs/>
          <w:color w:val="595959"/>
          <w:sz w:val="18"/>
          <w:szCs w:val="18"/>
        </w:rPr>
        <w:t xml:space="preserve">COMPLIANCE WORKING RECORD</w:t>
      </w:r>
    </w:p>
    <w:p>
      <w:pPr>
        <w:spacing w:after="100" w:line="500"/>
      </w:pPr>
      <w:r>
        <w:rPr>
          <w:rFonts w:ascii="Times New Roman" w:cs="Times New Roman" w:eastAsia="Times New Roman" w:hAnsi="Times New Roman"/>
          <w:b/>
          <w:bCs/>
          <w:color w:val="1F1F1F"/>
          <w:sz w:val="40"/>
          <w:szCs w:val="40"/>
        </w:rPr>
        <w:t xml:space="preserve">Riverside Legal LLP: business-wide AML risk assessment</w:t>
      </w:r>
    </w:p>
    <w:p>
      <w:pPr>
        <w:spacing w:after="320" w:line="34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SRA-regulated legal practice in England and Wales. Rule pack 2026-07-31.1. Sources reviewed 31 July 2026.</w:t>
      </w:r>
    </w:p>
    <w:p>
      <w:pPr>
        <w:pStyle w:val="Heading2"/>
      </w:pPr>
      <w:r>
        <w:t xml:space="preserve">Document control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456"/>
        <w:gridCol w:w="5570"/>
      </w:tblGrid>
      <w:tr>
        <w:trPr>
          <w:cantSplit/>
          <w:tblHeader/>
        </w:trPr>
        <w:tc>
          <w:tcPr>
            <w:tcW w:type="dxa" w:w="345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57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Organisation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Riverside Legal LLP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type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Business-wide risk assessment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reference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AML-LEGAL-SECTOR-20260731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Jurisdiction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United Kingdom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Version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Classification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 document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Rule pack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Sources reviewed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Generated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7 August 2026</w:t>
            </w:r>
          </w:p>
        </w:tc>
      </w:tr>
    </w:tbl>
    <w:p>
      <w:pPr>
        <w:pStyle w:val="Heading1"/>
        <w:pageBreakBefore/>
      </w:pPr>
      <w:r>
        <w:t xml:space="preserve">Review and approval record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746"/>
        <w:gridCol w:w="5280"/>
      </w:tblGrid>
      <w:tr>
        <w:trPr>
          <w:cantSplit/>
          <w:tblHeader/>
        </w:trPr>
        <w:tc>
          <w:tcPr>
            <w:tcW w:type="dxa" w:w="374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28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74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Owner</w:t>
            </w:r>
          </w:p>
        </w:tc>
        <w:tc>
          <w:tcPr>
            <w:tcW w:type="dxa" w:w="52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374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528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374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Review date</w:t>
            </w:r>
          </w:p>
        </w:tc>
        <w:tc>
          <w:tcPr>
            <w:tcW w:type="dxa" w:w="52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74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Supervisor</w:t>
            </w:r>
          </w:p>
        </w:tc>
        <w:tc>
          <w:tcPr>
            <w:tcW w:type="dxa" w:w="528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Solicitors Regulation Authority</w:t>
            </w:r>
          </w:p>
        </w:tc>
      </w:tr>
      <w:tr>
        <w:trPr>
          <w:cantSplit/>
        </w:trPr>
        <w:tc>
          <w:tcPr>
            <w:tcW w:type="dxa" w:w="374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Registration reference</w:t>
            </w:r>
          </w:p>
        </w:tc>
        <w:tc>
          <w:tcPr>
            <w:tcW w:type="dxa" w:w="52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SAMPLE-SRA-001</w:t>
            </w:r>
          </w:p>
        </w:tc>
      </w:tr>
      <w:tr>
        <w:trPr>
          <w:cantSplit/>
        </w:trPr>
        <w:tc>
          <w:tcPr>
            <w:tcW w:type="dxa" w:w="374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28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</w:pPr>
      <w:r>
        <w:t xml:space="preserve">Business context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362"/>
        <w:gridCol w:w="5664"/>
      </w:tblGrid>
      <w:tr>
        <w:trPr>
          <w:cantSplit/>
          <w:tblHeader/>
        </w:trPr>
        <w:tc>
          <w:tcPr>
            <w:tcW w:type="dxa" w:w="336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66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Trading name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Riverside Legal LLP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Locations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Birmingham and Worcester offices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Customer types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Individuals, owner-managed businesses, property companies and family trusts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Geographic exposure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England and Wales with selected overseas clients and counterparties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Delivery channels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Office, secure client portal, video meeting and approved professional referral</w:t>
            </w:r>
          </w:p>
        </w:tc>
      </w:tr>
    </w:tbl>
    <w:p>
      <w:pPr>
        <w:pStyle w:val="Heading1"/>
      </w:pPr>
      <w:r>
        <w:t xml:space="preserve">Legal sector operating facts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3010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Operating fact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answer</w:t>
            </w:r>
          </w:p>
        </w:tc>
        <w:tc>
          <w:tcPr>
            <w:tcW w:type="dxa" w:w="301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Why it is recorded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In-scope matter profile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in-scope portfolio includes residential and commercial conveyancing, corporate transactions, trust work and probate matters. Litigation and employment work are assessed separately.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annual matter volumes, services, typical values and how scope is confirmed.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Client account use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Client account is used only where connected to an underlying legal service. Residual balances, third-party receipts and transfers between matters are reviewed.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Describe receipts, payments, third-party transfers and controls against using the account as a banking facility.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Client and matter risk method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Every client and matter receives a documented risk assessment at opening, with review after a material change and before high-risk transactional steps.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Describe the assessment method, approval thresholds and event-driven review triggers.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Privilege and suspicion escalation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nominated officer receives confidential internal reports. Privilege and disclosure questions are referred to an authorised solicitor and recorded separately.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the confidential internal route and where specialist privilege advice is obtained.</w:t>
            </w:r>
          </w:p>
        </w:tc>
      </w:tr>
    </w:tbl>
    <w:p>
      <w:pPr>
        <w:pStyle w:val="Heading1"/>
      </w:pPr>
      <w:r>
        <w:t xml:space="preserve">Activities assessed</w:t>
      </w:r>
    </w:p>
    <w:p>
      <w:pPr>
        <w:pStyle w:val="ListParagraph"/>
        <w:numPr>
          <w:ilvl w:val="0"/>
          <w:numId w:val="1"/>
        </w:numPr>
      </w:pPr>
      <w:r>
        <w:t xml:space="preserve">Conveyancing</w:t>
      </w:r>
    </w:p>
    <w:p>
      <w:pPr>
        <w:pStyle w:val="ListParagraph"/>
        <w:numPr>
          <w:ilvl w:val="0"/>
          <w:numId w:val="1"/>
        </w:numPr>
      </w:pPr>
      <w:r>
        <w:t xml:space="preserve">Commercial property</w:t>
      </w:r>
    </w:p>
    <w:p>
      <w:pPr>
        <w:pStyle w:val="ListParagraph"/>
        <w:numPr>
          <w:ilvl w:val="0"/>
          <w:numId w:val="1"/>
        </w:numPr>
      </w:pPr>
      <w:r>
        <w:t xml:space="preserve">Trusts and estates</w:t>
      </w:r>
    </w:p>
    <w:p>
      <w:pPr>
        <w:pStyle w:val="ListParagraph"/>
        <w:numPr>
          <w:ilvl w:val="0"/>
          <w:numId w:val="1"/>
        </w:numPr>
      </w:pPr>
      <w:r>
        <w:t xml:space="preserve">Company formation or sale</w:t>
      </w:r>
    </w:p>
    <w:p>
      <w:pPr>
        <w:pStyle w:val="Heading1"/>
      </w:pPr>
      <w:r>
        <w:t xml:space="preserve">Sector risks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2511"/>
        <w:gridCol w:w="1491"/>
        <w:gridCol w:w="2511"/>
        <w:gridCol w:w="2513"/>
      </w:tblGrid>
      <w:tr>
        <w:trPr>
          <w:cantSplit/>
          <w:tblHeader/>
        </w:trPr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149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Assessed risk level</w:t>
            </w:r>
          </w:p>
        </w:tc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evidence or reasoning</w:t>
            </w:r>
          </w:p>
        </w:tc>
        <w:tc>
          <w:tcPr>
            <w:tcW w:type="dxa" w:w="2513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question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Property and conveyancing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Conveyancing is a material part of the practice. Ownership, source of funds, connected parties and unusual transaction features are reviewed for each matter.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the matter involve opaque ownership, third-party funds, rapid resale or unexplained price movement?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Client account misuse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Client account movement is matched to an underlying legal service. Third-party receipts, residual balances and unexplained transfers are escalated.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funds pass through the client account without a genuine underlying legal service?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Trust and company services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Trust and company work is limited but can involve complex control. Beneficial owners, purpose and authority are independently evidenced.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Does the matter create, sell or administer a structure that may obscure control or benefit?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Client and matter risk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opening process records separate client and matter risks. A material change triggers a documented reassessment rather than an overwritten rating.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Does each in-scope matter have a reasoned risk assessment connected to the firm-wide assessment?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Source of funds and wealth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Source-of-funds work is required for transactional matters and source of wealth is considered where risk warrants it. Conclusions and evidence references are retained.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Does the matter risk require evidence and a reasoned review of source of funds or wealth?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Privilege and suspicion escalation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Potential suspicion is reported confidentially to the nominated officer. Privilege, disclosure and external-reporting decisions remain with authorised solicitors.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Can staff identify when to escalate a concern and obtain specialist advice on privilege or disclosure restrictions?</w:t>
            </w:r>
          </w:p>
        </w:tc>
      </w:tr>
    </w:tbl>
    <w:p>
      <w:pPr>
        <w:spacing w:after="80"/>
      </w:pP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72"/>
        <w:gridCol w:w="3072"/>
        <w:gridCol w:w="1728"/>
        <w:gridCol w:w="1154"/>
      </w:tblGrid>
      <w:tr>
        <w:trPr>
          <w:cantSplit/>
          <w:tblHeader/>
        </w:trPr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Possible controls to tailor</w:t>
            </w:r>
          </w:p>
        </w:tc>
        <w:tc>
          <w:tcPr>
            <w:tcW w:type="dxa" w:w="17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Owner</w:t>
            </w:r>
          </w:p>
        </w:tc>
        <w:tc>
          <w:tcPr>
            <w:tcW w:type="dxa" w:w="115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date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Property and conveyancing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Use a client and matter risk assessment; Record source-of-funds decisions and evidence; Review material changes through completion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Client account misuse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Require a clear legal-service purpose; Control receipts and payments to third parties; Escalate banking or transaction anomalies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Trust and company services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Confirm TCSP scope; Map ownership and control; Record purpose and expected activity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Client and matter risk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client and matter factors separately; Name the assessor and date; Trigger review when facts change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Source of funds and wealth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what was checked and why; Resolve inconsistencies; Do not rely on account statements without context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Privilege and suspicion escalation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Use a confidential internal route; Keep the nominated officer decision record; Do not automate privilege or reporting decisions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</w:tbl>
    <w:p>
      <w:pPr>
        <w:pStyle w:val="Heading1"/>
      </w:pPr>
      <w:r>
        <w:t xml:space="preserve">Mandatory risk-factor prompts</w:t>
      </w:r>
    </w:p>
    <w:p>
      <w:pPr>
        <w:pStyle w:val="ListParagraph"/>
        <w:numPr>
          <w:ilvl w:val="0"/>
          <w:numId w:val="1"/>
        </w:numPr>
      </w:pPr>
      <w:r>
        <w:t xml:space="preserve">Customers and beneficial owners</w:t>
      </w:r>
    </w:p>
    <w:p>
      <w:pPr>
        <w:pStyle w:val="ListParagraph"/>
        <w:numPr>
          <w:ilvl w:val="0"/>
          <w:numId w:val="1"/>
        </w:numPr>
      </w:pPr>
      <w:r>
        <w:t xml:space="preserve">Countries and geographic areas</w:t>
      </w:r>
    </w:p>
    <w:p>
      <w:pPr>
        <w:pStyle w:val="ListParagraph"/>
        <w:numPr>
          <w:ilvl w:val="0"/>
          <w:numId w:val="1"/>
        </w:numPr>
      </w:pPr>
      <w:r>
        <w:t xml:space="preserve">Products, services and transactions</w:t>
      </w:r>
    </w:p>
    <w:p>
      <w:pPr>
        <w:pStyle w:val="ListParagraph"/>
        <w:numPr>
          <w:ilvl w:val="0"/>
          <w:numId w:val="1"/>
        </w:numPr>
      </w:pPr>
      <w:r>
        <w:t xml:space="preserve">Delivery channels</w:t>
      </w:r>
    </w:p>
    <w:p>
      <w:pPr>
        <w:pStyle w:val="ListParagraph"/>
        <w:numPr>
          <w:ilvl w:val="0"/>
          <w:numId w:val="1"/>
        </w:numPr>
      </w:pPr>
      <w:r>
        <w:t xml:space="preserve">Money laundering and terrorist financing</w:t>
      </w:r>
    </w:p>
    <w:p>
      <w:pPr>
        <w:pStyle w:val="ListParagraph"/>
        <w:numPr>
          <w:ilvl w:val="0"/>
          <w:numId w:val="1"/>
        </w:numPr>
      </w:pPr>
      <w:r>
        <w:t xml:space="preserve">Proliferation financing</w:t>
      </w:r>
    </w:p>
    <w:p>
      <w:pPr>
        <w:pStyle w:val="Heading1"/>
      </w:pPr>
      <w:r>
        <w:t xml:space="preserve">Approval record</w:t>
      </w:r>
    </w:p>
    <w:p>
      <w:r>
        <w:t xml:space="preserve">The authorised approver must confirm that the assessment reflects the actual business and that selected controls are proportionate. The tool does not supply that approval.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131"/>
        <w:gridCol w:w="5895"/>
      </w:tblGrid>
      <w:tr>
        <w:trPr>
          <w:cantSplit/>
          <w:tblHeader/>
        </w:trPr>
        <w:tc>
          <w:tcPr>
            <w:tcW w:type="dxa" w:w="313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895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Approval date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Complete after review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Decision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Approve, approve with actions, or return for revision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Next review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2027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  <w:keepNext/>
      </w:pPr>
      <w:r>
        <w:t xml:space="preserve">Assumptions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Organisation entered by the user: Riverside Legal LLP.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Sector route selected by the user: SRA-regulated legal practice in England and Wales.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Supervisor entered by the user: Solicitors Regulation Authority.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Selected activities: Conveyancing, Commercial property, Trusts and estates, Company formation or sale.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In-scope matter profile: The in-scope portfolio includes residential and commercial conveyancing, corporate transactions, trust work and probate matters. Litigation and employment work are assessed separately.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Client account use: Client account is used only where connected to an underlying legal service. Residual balances, third-party receipts and transfers between matters are reviewed.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Client and matter risk method: Every client and matter receives a documented risk assessment at opening, with review after a material change and before high-risk transactional steps.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Privilege and suspicion escalation: The nominated officer receives confidential internal reports. Privilege and disclosure questions are referred to an authorised solicitor and recorded separately.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Risk ratings supplied for 6 of 6 prompted sector risks.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Scope assumptions entered by the user: This is a fictional sample for product inspection. The organisation, references and operating facts are not real. A purchaser must replace them with its own confirmed information before review and approval.</w:t>
      </w:r>
    </w:p>
    <w:p>
      <w:pPr>
        <w:pStyle w:val="Heading1"/>
        <w:keepNext/>
      </w:pPr>
      <w:r>
        <w:t xml:space="preserve">Limitations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This is a structured starter pack. It does not determine regulatory scope, supervision, risk level, control adequacy, customer acceptance, suspicion or reporting.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Suggested controls are drafting prompts. The organisation must tailor, approve, implement and evidence them.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The pack does not screen customers or transactions and does not connect to HMRC, a professional body, the NCA or any sanctions service.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Law, guidance, services and risks can change. Review the cited source versions before approval and after material change.</w:t>
      </w:r>
    </w:p>
    <w:p>
      <w:pPr>
        <w:pStyle w:val="Heading1"/>
        <w:pageBreakBefore/>
      </w:pPr>
      <w:r>
        <w:t xml:space="preserve">Official sources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1128"/>
        <w:gridCol w:w="1882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Source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Provision</w:t>
            </w:r>
          </w:p>
        </w:tc>
        <w:tc>
          <w:tcPr>
            <w:tcW w:type="dxa" w:w="11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Reviewed</w:t>
            </w:r>
          </w:p>
        </w:tc>
        <w:tc>
          <w:tcPr>
            <w:tcW w:type="dxa" w:w="188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Link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Laundering, Terrorist Financing and Transfer of Funds Regulations 2017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18, 18A, 19, 21, 27 to 40 and 46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f3wod3tksze9wxtvgrscg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 and Terrorist Financing (Amendment) Regulations 2026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SI 2026/621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fuouoprmceosafjeytdkv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Guidance for all sectors: Introduction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simrt5sklcs3dsdcfsbu4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Business risk assessment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 and 18A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ntjdsunvwyyuqe14ri4bj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Policies, controls and procedures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19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hf8tp9wloureyurzecivm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Customer due diligence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27 to 32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4l37lvtpihmzozlpdcv7d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Enhanced due diligence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33 and 35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gly0bmfsqdwnu-cldqz6x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Suspicious activity reports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bdafbqrhlpermg_vicuox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Record keeping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40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pwp6okfid13qond7pensj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Training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4hw5kb3iy-lszjuem5_yk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Solicitors Regulation Authority: Firm-wide risk assessments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 and 18A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gctvmkbauu_dcgoia_vrl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Solicitors Regulation Authority: Client and matter risk assessments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clonzsohadh6oges2jyzx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Page </w:t>
    </w:r>
    <w:r>
      <w:rPr>
        <w:rFonts w:ascii="Times New Roman" w:cs="Times New Roman" w:eastAsia="Times New Roman" w:hAnsi="Times New Roman"/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9" w:sz="2"/>
      </w:pBdr>
      <w:spacing w:after="80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Business Compliance Tools</w:t>
    </w: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  |  AML-LEGAL-SECTOR-20260731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1F1F1F"/>
        <w:sz w:val="22"/>
        <w:szCs w:val="22"/>
      </w:rPr>
    </w:rPrDefault>
    <w:pPrDefault>
      <w:pPr>
        <w:spacing w:after="120" w:before="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</w:pPr>
    <w:rPr>
      <w:rFonts w:ascii="Times New Roman" w:cs="Times New Roman" w:eastAsia="Times New Roman" w:hAnsi="Times New Roman"/>
      <w:b/>
      <w:bCs/>
      <w:color w:val="1F1F1F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120" w:before="240"/>
    </w:pPr>
    <w:rPr>
      <w:rFonts w:ascii="Times New Roman" w:cs="Times New Roman" w:eastAsia="Times New Roman" w:hAnsi="Times New Roman"/>
      <w:b/>
      <w:bCs/>
      <w:color w:val="1F1F1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f3wod3tksze9wxtvgrscg" Type="http://schemas.openxmlformats.org/officeDocument/2006/relationships/hyperlink" Target="https://www.legislation.gov.uk/uksi/2017/692/contents" TargetMode="External"/><Relationship Id="rIdfuouoprmceosafjeytdkv" Type="http://schemas.openxmlformats.org/officeDocument/2006/relationships/hyperlink" Target="https://www.legislation.gov.uk/uksi/2026/621/contents/made" TargetMode="External"/><Relationship Id="rIdsimrt5sklcs3dsdcfsbu4" Type="http://schemas.openxmlformats.org/officeDocument/2006/relationships/hyperlink" Target="https://www.gov.uk/hmrc-internal-manuals/anti-money-laundering-guidance-for-supervised-businesses/amlg1100" TargetMode="External"/><Relationship Id="rIdntjdsunvwyyuqe14ri4bj" Type="http://schemas.openxmlformats.org/officeDocument/2006/relationships/hyperlink" Target="https://www.gov.uk/hmrc-internal-manuals/anti-money-laundering-guidance-for-supervised-businesses/amlg1800" TargetMode="External"/><Relationship Id="rIdhf8tp9wloureyurzecivm" Type="http://schemas.openxmlformats.org/officeDocument/2006/relationships/hyperlink" Target="https://www.gov.uk/hmrc-internal-manuals/anti-money-laundering-guidance-for-supervised-businesses/amlg1900" TargetMode="External"/><Relationship Id="rId4l37lvtpihmzozlpdcv7d" Type="http://schemas.openxmlformats.org/officeDocument/2006/relationships/hyperlink" Target="https://www.gov.uk/hmrc-internal-manuals/anti-money-laundering-guidance-for-supervised-businesses/amlg11300" TargetMode="External"/><Relationship Id="rIdgly0bmfsqdwnu-cldqz6x" Type="http://schemas.openxmlformats.org/officeDocument/2006/relationships/hyperlink" Target="https://www.gov.uk/hmrc-internal-manuals/anti-money-laundering-guidance-for-supervised-businesses/amlg11600" TargetMode="External"/><Relationship Id="rIdbdafbqrhlpermg_vicuox" Type="http://schemas.openxmlformats.org/officeDocument/2006/relationships/hyperlink" Target="https://www.gov.uk/hmrc-internal-manuals/anti-money-laundering-guidance-for-supervised-businesses/amlg11100" TargetMode="External"/><Relationship Id="rIdpwp6okfid13qond7pensj" Type="http://schemas.openxmlformats.org/officeDocument/2006/relationships/hyperlink" Target="https://www.gov.uk/hmrc-internal-manuals/anti-money-laundering-guidance-for-supervised-businesses/amlg11700" TargetMode="External"/><Relationship Id="rId4hw5kb3iy-lszjuem5_yk" Type="http://schemas.openxmlformats.org/officeDocument/2006/relationships/hyperlink" Target="https://www.gov.uk/hmrc-internal-manuals/anti-money-laundering-guidance-for-supervised-businesses/amlg11030" TargetMode="External"/><Relationship Id="rIdgctvmkbauu_dcgoia_vrl" Type="http://schemas.openxmlformats.org/officeDocument/2006/relationships/hyperlink" Target="https://www.sra.org.uk/solicitors/guidance/firm-risk-assessments/" TargetMode="External"/><Relationship Id="rIdclonzsohadh6oges2jyzx" Type="http://schemas.openxmlformats.org/officeDocument/2006/relationships/hyperlink" Target="https://www.sra.org.uk/solicitors/guidance/client-and-matter-risk-assessments/" TargetMode="External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Riverside Legal LLP: business-wide AML risk assessment</dc:title>
  <dc:subject>SRA-regulated legal practice in England and Wales. Rule pack 2026-07-31.1. Sources reviewed 31 July 2026.</dc:subject>
  <dc:creator>Business Compliance Tools</dc:creator>
  <cp:keywords>compliance, evidence, gb</cp:keywords>
  <dc:description>Business-wide risk assessment</dc:description>
  <cp:lastModifiedBy>Business Compliance Tools</cp:lastModifiedBy>
  <cp:revision>1</cp:revision>
  <dcterms:created xsi:type="dcterms:W3CDTF">2026-08-07T13:51:10.255Z</dcterms:created>
  <dcterms:modified xsi:type="dcterms:W3CDTF">2026-08-07T13:51:10.255Z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