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Harbour Transfer Services Ltd: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Money service business.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456"/>
        <w:gridCol w:w="5570"/>
      </w:tblGrid>
      <w:tr>
        <w:trPr>
          <w:cantSplit/>
          <w:tblHeader/>
        </w:trPr>
        <w:tc>
          <w:tcPr>
            <w:tcW w:type="dxa" w:w="345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57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Harbour Transfer Services Ltd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AML-MSB-HAWALA-20260731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16"/>
        <w:gridCol w:w="4710"/>
      </w:tblGrid>
      <w:tr>
        <w:trPr>
          <w:cantSplit/>
          <w:tblHeader/>
        </w:trPr>
        <w:tc>
          <w:tcPr>
            <w:tcW w:type="dxa" w:w="431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7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SAMPLE-MSB-001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Harbour Transfer Services Ltd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London head office and eight appointed agents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Individuals, family businesses and small importers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Kingdom, Pakistan, Bangladesh, the United Arab Emirates and selected EEA corridors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Branch, approved agents, web account and mobile application</w:t>
            </w:r>
          </w:p>
        </w:tc>
      </w:tr>
    </w:tbl>
    <w:p>
      <w:pPr>
        <w:pStyle w:val="Heading1"/>
      </w:pPr>
      <w:r>
        <w:t xml:space="preserve">MSB and hawala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Transaction and currency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Approximately 54,000 transfers a year with a median value of £420 and a recorded maximum of £18,000. Cash represents 27 per cent of funded transfers.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annual volume, typical and maximum values, cash proportion and currencies used.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Countries and transfer corridors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Pakistan and Bangladesh account for 61 per cent of outbound value. Corridor risks are reviewed quarterly against dated sanctions, terrorism-financing and corruption sources.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List material origin and destination corridors and how their risk is reviewed.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Agents and branches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Eight agents operate under written agreements. They receive onboarding checks, annual training, monthly exception reporting and risk-based file testing.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the agent or branch network, onboarding, monitoring, training and termination controls.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Settlement and transaction monitoring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platform links transfers by customer, payer, beneficiary, device and agent. Alerts are reviewed daily, and settlement accounts are reconciled each business day.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settlement arrangements, linked-transaction detection, alert review and record reconciliation.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Money transmission</w:t>
      </w:r>
    </w:p>
    <w:p>
      <w:pPr>
        <w:pStyle w:val="ListParagraph"/>
        <w:numPr>
          <w:ilvl w:val="0"/>
          <w:numId w:val="1"/>
        </w:numPr>
      </w:pPr>
      <w:r>
        <w:t xml:space="preserve">Hawala or informal value transfer</w:t>
      </w:r>
    </w:p>
    <w:p>
      <w:pPr>
        <w:pStyle w:val="ListParagraph"/>
        <w:numPr>
          <w:ilvl w:val="0"/>
          <w:numId w:val="1"/>
        </w:numPr>
      </w:pPr>
      <w:r>
        <w:t xml:space="preserve">Currency exchange</w:t>
      </w:r>
    </w:p>
    <w:p>
      <w:pPr>
        <w:pStyle w:val="ListParagraph"/>
        <w:numPr>
          <w:ilvl w:val="0"/>
          <w:numId w:val="1"/>
        </w:numPr>
      </w:pPr>
      <w:r>
        <w:t xml:space="preserve">Cheque cashing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 cash volume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Cash funds more than a quarter of transfers. Denomination, payer relationship and source information are reviewed against risk-based triggers.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high cash volumes, denominations or patterns make source and destination harder to understand?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 and franchise network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 activity is compared across volume, cash share, alerts and rejected transfers. Two higher-risk agents receive quarterly file testing.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weak, remote or inconsistent agent controls create blind spots?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corridors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Several material corridors carry elevated sanctions or terrorism-financing exposure. Dated source checks and corridor-specific alert rules are retained.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 countries, corridors or counterparties create sanctions, terrorism-financing or corruption exposure?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Linked or structured transfers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monitoring system aggregates connected transfers across customers, devices, beneficiaries and agents. Potential structuring is held for human review.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transfers be split, repeated or routed through connected people to avoid controls?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Net settlement and liquidity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Settlement uses documented bank and agent accounts. Unexplained balances, third-party settlement and delayed reconciliation are escalated to the finance and AML owners.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informal settlement, cash pools or third parties obscure movement of value?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and beneficiary information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Payer, customer and beneficiary information is validated before release. Missing or inconsistent route information stops processing until resolved.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Are payer, customer, beneficiary and acting-person records complete for the route?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 cash volume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Set risk-based cash review triggers; Record payer, customer and beneficiary relationships; Escalate structuring or unexplained cash patterns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 and franchise network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 and risk-rate agents; Monitor agent activity and training; Record visits, testing and remediation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corridors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dated country and sanctions sources; Set corridor-specific monitoring; Escalate unexpected routing or beneficiaries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Linked or structured transfers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Aggregate linked activity under the organisation method; Record the connection and rationale; Escalate suspicious patterns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Net settlement and liquidity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settlement arrangements; Reconcile agent and central records; Investigate unexplained balances or third-party settlement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and beneficiary information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route-specific data requirements; Stop or escalate incomplete transfers where required; Preserve evidence of corrections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Harbour Transfer Services Ltd.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Money service business.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HM Revenue &amp; Customs.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Money transmission, Hawala or informal value transfer, Currency exchange, Cheque cashing.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Transaction and currency profile: Approximately 54,000 transfers a year with a median value of £420 and a recorded maximum of £18,000. Cash represents 27 per cent of funded transfers.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Countries and transfer corridors: Pakistan and Bangladesh account for 61 per cent of outbound value. Corridor risks are reviewed quarterly against dated sanctions, terrorism-financing and corruption sources.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Agents and branches: Eight agents operate under written agreements. They receive onboarding checks, annual training, monthly exception reporting and risk-based file testing.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Settlement and transaction monitoring: The platform links transfers by customer, payer, beneficiary, device and agent. Alerts are reviewed daily, and settlement accounts are reconciled each business day.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p7jr196b04lldxa2notlw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ce947opfdkc4mvu0dox3z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kflouig9up8g3p_qkiwaq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x7djvio95fqhu_htfbe2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8olg02bcxipuuffoa8zg7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tf7b2yawzfi7dqyf3oyv2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cgtqosd_un0yqrgnny4f5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lquxwnt0kl4ayfvuurux6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exahesyrkvosne-gqmevl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j4_jmi0zdbfk_l_anon50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Money service business guidance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ixqzsjvvbgvatfxzpmdgw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AML-MSB-HAWALA-20260731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p7jr196b04lldxa2notlw" Type="http://schemas.openxmlformats.org/officeDocument/2006/relationships/hyperlink" Target="https://www.legislation.gov.uk/uksi/2017/692/contents" TargetMode="External"/><Relationship Id="rIdce947opfdkc4mvu0dox3z" Type="http://schemas.openxmlformats.org/officeDocument/2006/relationships/hyperlink" Target="https://www.legislation.gov.uk/uksi/2026/621/contents/made" TargetMode="External"/><Relationship Id="rIdkflouig9up8g3p_qkiwaq" Type="http://schemas.openxmlformats.org/officeDocument/2006/relationships/hyperlink" Target="https://www.gov.uk/hmrc-internal-manuals/anti-money-laundering-guidance-for-supervised-businesses/amlg1100" TargetMode="External"/><Relationship Id="rIdgx7djvio95fqhu_htfbe2" Type="http://schemas.openxmlformats.org/officeDocument/2006/relationships/hyperlink" Target="https://www.gov.uk/hmrc-internal-manuals/anti-money-laundering-guidance-for-supervised-businesses/amlg1800" TargetMode="External"/><Relationship Id="rId8olg02bcxipuuffoa8zg7" Type="http://schemas.openxmlformats.org/officeDocument/2006/relationships/hyperlink" Target="https://www.gov.uk/hmrc-internal-manuals/anti-money-laundering-guidance-for-supervised-businesses/amlg1900" TargetMode="External"/><Relationship Id="rIdtf7b2yawzfi7dqyf3oyv2" Type="http://schemas.openxmlformats.org/officeDocument/2006/relationships/hyperlink" Target="https://www.gov.uk/hmrc-internal-manuals/anti-money-laundering-guidance-for-supervised-businesses/amlg11300" TargetMode="External"/><Relationship Id="rIdcgtqosd_un0yqrgnny4f5" Type="http://schemas.openxmlformats.org/officeDocument/2006/relationships/hyperlink" Target="https://www.gov.uk/hmrc-internal-manuals/anti-money-laundering-guidance-for-supervised-businesses/amlg11600" TargetMode="External"/><Relationship Id="rIdlquxwnt0kl4ayfvuurux6" Type="http://schemas.openxmlformats.org/officeDocument/2006/relationships/hyperlink" Target="https://www.gov.uk/hmrc-internal-manuals/anti-money-laundering-guidance-for-supervised-businesses/amlg11100" TargetMode="External"/><Relationship Id="rIdexahesyrkvosne-gqmevl" Type="http://schemas.openxmlformats.org/officeDocument/2006/relationships/hyperlink" Target="https://www.gov.uk/hmrc-internal-manuals/anti-money-laundering-guidance-for-supervised-businesses/amlg11700" TargetMode="External"/><Relationship Id="rIdj4_jmi0zdbfk_l_anon50" Type="http://schemas.openxmlformats.org/officeDocument/2006/relationships/hyperlink" Target="https://www.gov.uk/hmrc-internal-manuals/anti-money-laundering-guidance-for-supervised-businesses/amlg11030" TargetMode="External"/><Relationship Id="rIdixqzsjvvbgvatfxzpmdgw" Type="http://schemas.openxmlformats.org/officeDocument/2006/relationships/hyperlink" Target="https://www.gov.uk/hmrc-internal-manuals/anti-money-laundering-guidance-for-supervised-businesses/amlg2400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Harbour Transfer Services Ltd: business-wide AML risk assessment</dc:title>
  <dc:subject>Money service business.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2026-08-07T13:51:10.090Z</dcterms:created>
  <dcterms:modified xsi:type="dcterms:W3CDTF">2026-08-07T13:51:10.090Z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