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before="100"/>
      </w:pPr>
      <w:r>
        <w:rPr>
          <w:rFonts w:ascii="Times New Roman" w:cs="Times New Roman" w:eastAsia="Times New Roman" w:hAnsi="Times New Roman"/>
          <w:b/>
          <w:bCs/>
          <w:color w:val="595959"/>
          <w:sz w:val="18"/>
          <w:szCs w:val="18"/>
        </w:rPr>
        <w:t xml:space="preserve">COMPLIANCE WORKING RECORD</w:t>
      </w:r>
    </w:p>
    <w:p>
      <w:pPr>
        <w:spacing w:after="100" w:line="500"/>
      </w:pPr>
      <w:r>
        <w:rPr>
          <w:rFonts w:ascii="Times New Roman" w:cs="Times New Roman" w:eastAsia="Times New Roman" w:hAnsi="Times New Roman"/>
          <w:b/>
          <w:bCs/>
          <w:color w:val="1F1F1F"/>
          <w:sz w:val="40"/>
          <w:szCs w:val="40"/>
        </w:rPr>
        <w:t xml:space="preserve">Northfield Accountancy Services Ltd: SAR internal decision record</w:t>
      </w:r>
    </w:p>
    <w:p>
      <w:pPr>
        <w:spacing w:after="320" w:line="340"/>
      </w:pPr>
      <w:r>
        <w:rPr>
          <w:rFonts w:ascii="Times New Roman" w:cs="Times New Roman" w:eastAsia="Times New Roman" w:hAnsi="Times New Roman"/>
          <w:color w:val="333333"/>
          <w:sz w:val="22"/>
          <w:szCs w:val="22"/>
        </w:rPr>
        <w:t xml:space="preserve">SAR-2026-015. Restricted record of the authorised human decision.</w:t>
      </w:r>
    </w:p>
    <w:p>
      <w:pPr>
        <w:pStyle w:val="Heading2"/>
      </w:pPr>
      <w:r>
        <w:t xml:space="preserve">Document control</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3249"/>
        <w:gridCol w:w="5777"/>
      </w:tblGrid>
      <w:tr>
        <w:trPr>
          <w:cantSplit/>
          <w:tblHeader/>
        </w:trPr>
        <w:tc>
          <w:tcPr>
            <w:tcW w:type="dxa" w:w="324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Field</w:t>
            </w:r>
          </w:p>
        </w:tc>
        <w:tc>
          <w:tcPr>
            <w:tcW w:type="dxa" w:w="577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Organisation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Northfield Accountancy Services Ltd</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Document type</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SAR internal decision record</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Document reference</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Fictional sample | SAR-2026-015</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Jurisdiction</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Version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1.0</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Status</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Human no-report decision recorded</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Classification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Fictional sample - not for operational use</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Prepared by</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Prepared 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6 August 2026</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Rule pack</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uk-sar-quality-2026-08-07.1</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Sources reviewed</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Generated</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r>
    </w:tbl>
    <w:p>
      <w:pPr>
        <w:pStyle w:val="Heading1"/>
        <w:pageBreakBefore/>
      </w:pPr>
      <w:r>
        <w:t xml:space="preserve">Decision and authority</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4212"/>
        <w:gridCol w:w="4814"/>
      </w:tblGrid>
      <w:tr>
        <w:trPr>
          <w:cantSplit/>
          <w:tblHeader/>
        </w:trPr>
        <w:tc>
          <w:tcPr>
            <w:tcW w:type="dxa" w:w="421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Field</w:t>
            </w:r>
          </w:p>
        </w:tc>
        <w:tc>
          <w:tcPr>
            <w:tcW w:type="dxa" w:w="481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421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Internal disclosure received</w:t>
            </w:r>
          </w:p>
        </w:tc>
        <w:tc>
          <w:tcPr>
            <w:tcW w:type="dxa" w:w="481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5 August 2026</w:t>
            </w:r>
          </w:p>
        </w:tc>
      </w:tr>
      <w:tr>
        <w:trPr>
          <w:cantSplit/>
        </w:trPr>
        <w:tc>
          <w:tcPr>
            <w:tcW w:type="dxa" w:w="421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Reporter</w:t>
            </w:r>
          </w:p>
        </w:tc>
        <w:tc>
          <w:tcPr>
            <w:tcW w:type="dxa" w:w="481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Jordan Patel, engagement manager</w:t>
            </w:r>
          </w:p>
        </w:tc>
      </w:tr>
      <w:tr>
        <w:trPr>
          <w:cantSplit/>
        </w:trPr>
        <w:tc>
          <w:tcPr>
            <w:tcW w:type="dxa" w:w="421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Nominated officer</w:t>
            </w:r>
          </w:p>
        </w:tc>
        <w:tc>
          <w:tcPr>
            <w:tcW w:type="dxa" w:w="481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 nominated officer</w:t>
            </w:r>
          </w:p>
        </w:tc>
      </w:tr>
      <w:tr>
        <w:trPr>
          <w:cantSplit/>
        </w:trPr>
        <w:tc>
          <w:tcPr>
            <w:tcW w:type="dxa" w:w="421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Decision-maker</w:t>
            </w:r>
          </w:p>
        </w:tc>
        <w:tc>
          <w:tcPr>
            <w:tcW w:type="dxa" w:w="481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w:t>
            </w:r>
          </w:p>
        </w:tc>
      </w:tr>
      <w:tr>
        <w:trPr>
          <w:cantSplit/>
        </w:trPr>
        <w:tc>
          <w:tcPr>
            <w:tcW w:type="dxa" w:w="421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 date</w:t>
            </w:r>
          </w:p>
        </w:tc>
        <w:tc>
          <w:tcPr>
            <w:tcW w:type="dxa" w:w="481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6 August 2026</w:t>
            </w:r>
          </w:p>
        </w:tc>
      </w:tr>
      <w:tr>
        <w:trPr>
          <w:cantSplit/>
        </w:trPr>
        <w:tc>
          <w:tcPr>
            <w:tcW w:type="dxa" w:w="421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Route</w:t>
            </w:r>
          </w:p>
        </w:tc>
        <w:tc>
          <w:tcPr>
            <w:tcW w:type="dxa" w:w="481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Ordinary POCA SAR</w:t>
            </w:r>
          </w:p>
        </w:tc>
      </w:tr>
      <w:tr>
        <w:trPr>
          <w:cantSplit/>
        </w:trPr>
        <w:tc>
          <w:tcPr>
            <w:tcW w:type="dxa" w:w="421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w:t>
            </w:r>
          </w:p>
        </w:tc>
        <w:tc>
          <w:tcPr>
            <w:tcW w:type="dxa" w:w="481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Do not submit, with the human rationale retained</w:t>
            </w:r>
          </w:p>
        </w:tc>
      </w:tr>
    </w:tbl>
    <w:p>
      <w:pPr>
        <w:pStyle w:val="Heading1"/>
      </w:pPr>
      <w:r>
        <w:t xml:space="preserve">Facts considered</w:t>
      </w:r>
    </w:p>
    <w:p>
      <w:r>
        <w:t xml:space="preserve">A client supplied invoices that do not match the stated business activity and asked for urgent transfers to unrelated third parties.</w:t>
      </w:r>
    </w:p>
    <w:p>
      <w:r>
        <w:t xml:space="preserve">The invoices conflict with the client’s recorded wholesale activity, repeat identical wording and contain beneficiary details unrelated to the named suppliers. When asked for supporting contracts, the director requested that the transfers be processed before responding.</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117"/>
        <w:gridCol w:w="2005"/>
        <w:gridCol w:w="1337"/>
        <w:gridCol w:w="3567"/>
      </w:tblGrid>
      <w:tr>
        <w:trPr>
          <w:cantSplit/>
          <w:tblHeader/>
        </w:trPr>
        <w:tc>
          <w:tcPr>
            <w:tcW w:type="dxa" w:w="211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Main party</w:t>
            </w:r>
          </w:p>
        </w:tc>
        <w:tc>
          <w:tcPr>
            <w:tcW w:type="dxa" w:w="2005"/>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Associated parties</w:t>
            </w:r>
          </w:p>
        </w:tc>
        <w:tc>
          <w:tcPr>
            <w:tcW w:type="dxa" w:w="133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Transactions</w:t>
            </w:r>
          </w:p>
        </w:tc>
        <w:tc>
          <w:tcPr>
            <w:tcW w:type="dxa" w:w="356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Suspected property</w:t>
            </w:r>
          </w:p>
        </w:tc>
      </w:tr>
      <w:tr>
        <w:trPr>
          <w:cantSplit/>
        </w:trPr>
        <w:tc>
          <w:tcPr>
            <w:tcW w:type="dxa" w:w="211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Bracken Trading Ltd</w:t>
            </w:r>
          </w:p>
        </w:tc>
        <w:tc>
          <w:tcPr>
            <w:tcW w:type="dxa" w:w="2005"/>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w:t>
            </w:r>
          </w:p>
        </w:tc>
        <w:tc>
          <w:tcPr>
            <w:tcW w:type="dxa" w:w="133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2</w:t>
            </w:r>
          </w:p>
        </w:tc>
        <w:tc>
          <w:tcPr>
            <w:tcW w:type="dxa" w:w="356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GBP 48,250 held in the client business account and identified in the six questioned payment instructions.</w:t>
            </w:r>
          </w:p>
        </w:tc>
      </w:tr>
    </w:tbl>
    <w:p>
      <w:pPr>
        <w:pStyle w:val="Heading1"/>
      </w:pPr>
      <w:r>
        <w:t xml:space="preserve">Human rationale</w:t>
      </w:r>
    </w:p>
    <w:p>
      <w:r>
        <w:t xml:space="preserve">The nominated officer reviewed the original invoices, supplier records and payment instructions. Independent checks confirmed that the questioned payments related to a documented acquisition and the apparent beneficiary mismatch resulted from a payment-service provider. The facts did not create the level of suspicion required for an external report, so the authorised human decided not to submit and retained this rationale.</w:t>
      </w:r>
    </w:p>
    <w:p>
      <w:pPr>
        <w:pStyle w:val="Heading1"/>
      </w:pPr>
      <w:r>
        <w:t xml:space="preserve">Separate reporting routes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850"/>
        <w:gridCol w:w="2850"/>
        <w:gridCol w:w="3326"/>
      </w:tblGrid>
      <w:tr>
        <w:trPr>
          <w:cantSplit/>
          <w:tblHeader/>
        </w:trPr>
        <w:tc>
          <w:tcPr>
            <w:tcW w:type="dxa" w:w="2850"/>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Crime report</w:t>
            </w:r>
          </w:p>
        </w:tc>
        <w:tc>
          <w:tcPr>
            <w:tcW w:type="dxa" w:w="2850"/>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Safeguarding</w:t>
            </w:r>
          </w:p>
        </w:tc>
        <w:tc>
          <w:tcPr>
            <w:tcW w:type="dxa" w:w="3326"/>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Immediate risk</w:t>
            </w:r>
          </w:p>
        </w:tc>
      </w:tr>
      <w:tr>
        <w:trPr>
          <w:cantSplit/>
        </w:trPr>
        <w:tc>
          <w:tcPr>
            <w:tcW w:type="dxa" w:w="2850"/>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selected</w:t>
            </w:r>
          </w:p>
        </w:tc>
        <w:tc>
          <w:tcPr>
            <w:tcW w:type="dxa" w:w="2850"/>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selected</w:t>
            </w:r>
          </w:p>
        </w:tc>
        <w:tc>
          <w:tcPr>
            <w:tcW w:type="dxa" w:w="332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selected</w:t>
            </w:r>
          </w:p>
        </w:tc>
      </w:tr>
    </w:tbl>
    <w:p>
      <w:pPr>
        <w:pStyle w:val="Heading1"/>
      </w:pPr>
      <w:r>
        <w:t xml:space="preserve">Confidentiality and retention controls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876"/>
        <w:gridCol w:w="3074"/>
        <w:gridCol w:w="3076"/>
      </w:tblGrid>
      <w:tr>
        <w:trPr>
          <w:cantSplit/>
          <w:tblHeader/>
        </w:trPr>
        <w:tc>
          <w:tcPr>
            <w:tcW w:type="dxa" w:w="2876"/>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Restricted handling confirmed</w:t>
            </w:r>
          </w:p>
        </w:tc>
        <w:tc>
          <w:tcPr>
            <w:tcW w:type="dxa" w:w="307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Retain submitted copy confirmed</w:t>
            </w:r>
          </w:p>
        </w:tc>
        <w:tc>
          <w:tcPr>
            <w:tcW w:type="dxa" w:w="3076"/>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Correct Portal fields confirmed</w:t>
            </w:r>
          </w:p>
        </w:tc>
      </w:tr>
      <w:tr>
        <w:trPr>
          <w:cantSplit/>
        </w:trPr>
        <w:tc>
          <w:tcPr>
            <w:tcW w:type="dxa" w:w="287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Yes</w:t>
            </w:r>
          </w:p>
        </w:tc>
        <w:tc>
          <w:tcPr>
            <w:tcW w:type="dxa" w:w="307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applicable</w:t>
            </w:r>
          </w:p>
        </w:tc>
        <w:tc>
          <w:tcPr>
            <w:tcW w:type="dxa" w:w="307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applicable</w:t>
            </w:r>
          </w:p>
        </w:tc>
      </w:tr>
    </w:tbl>
    <w:p>
      <w:pPr>
        <w:pStyle w:val="Heading1"/>
      </w:pPr>
      <w:r>
        <w:t xml:space="preserve">Approval record</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827"/>
        <w:gridCol w:w="1304"/>
        <w:gridCol w:w="1413"/>
        <w:gridCol w:w="3482"/>
      </w:tblGrid>
      <w:tr>
        <w:trPr>
          <w:cantSplit/>
          <w:tblHeader/>
        </w:trPr>
        <w:tc>
          <w:tcPr>
            <w:tcW w:type="dxa" w:w="282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Decision</w:t>
            </w:r>
          </w:p>
        </w:tc>
        <w:tc>
          <w:tcPr>
            <w:tcW w:type="dxa" w:w="130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Approved by</w:t>
            </w:r>
          </w:p>
        </w:tc>
        <w:tc>
          <w:tcPr>
            <w:tcW w:type="dxa" w:w="141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Date</w:t>
            </w:r>
          </w:p>
        </w:tc>
        <w:tc>
          <w:tcPr>
            <w:tcW w:type="dxa" w:w="348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Signature</w:t>
            </w:r>
          </w:p>
        </w:tc>
      </w:tr>
      <w:tr>
        <w:trPr>
          <w:cantSplit/>
        </w:trPr>
        <w:tc>
          <w:tcPr>
            <w:tcW w:type="dxa" w:w="282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Approve no-report decision</w:t>
            </w:r>
          </w:p>
        </w:tc>
        <w:tc>
          <w:tcPr>
            <w:tcW w:type="dxa" w:w="130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w:t>
            </w:r>
          </w:p>
        </w:tc>
        <w:tc>
          <w:tcPr>
            <w:tcW w:type="dxa" w:w="141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6 August 2026</w:t>
            </w:r>
          </w:p>
        </w:tc>
        <w:tc>
          <w:tcPr>
            <w:tcW w:type="dxa" w:w="348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Complete under the organisation’s approved electronic or wet-signature process</w:t>
            </w:r>
          </w:p>
        </w:tc>
      </w:tr>
    </w:tbl>
    <w:p>
      <w:pPr>
        <w:pStyle w:val="Heading1"/>
        <w:keepNext/>
      </w:pPr>
      <w:r>
        <w:t xml:space="preserve">Assumptions</w:t>
      </w:r>
    </w:p>
    <w:p>
      <w:pPr>
        <w:pStyle w:val="ListParagraph"/>
        <w:keepNext/>
        <w:keepLines/>
        <w:numPr>
          <w:ilvl w:val="0"/>
          <w:numId w:val="1"/>
        </w:numPr>
      </w:pPr>
      <w:r>
        <w:t xml:space="preserve">The authorised user selected the Ordinary POCA SAR route.</w:t>
      </w:r>
    </w:p>
    <w:p>
      <w:pPr>
        <w:pStyle w:val="ListParagraph"/>
        <w:keepNext/>
        <w:keepLines/>
        <w:numPr>
          <w:ilvl w:val="0"/>
          <w:numId w:val="1"/>
        </w:numPr>
      </w:pPr>
      <w:r>
        <w:t xml:space="preserve">The authorised user recorded this human decision: Do not submit, with the human rationale retained.</w:t>
      </w:r>
    </w:p>
    <w:p>
      <w:pPr>
        <w:pStyle w:val="ListParagraph"/>
        <w:keepNext/>
        <w:keepLines/>
        <w:numPr>
          <w:ilvl w:val="0"/>
          <w:numId w:val="1"/>
        </w:numPr>
      </w:pPr>
      <w:r>
        <w:t xml:space="preserve">The organisation recorded its regulated-sector context as: Accountancy service provider supervised for anti-money laundering purposes.</w:t>
      </w:r>
    </w:p>
    <w:p>
      <w:pPr>
        <w:pStyle w:val="ListParagraph"/>
        <w:keepNext w:val="false"/>
        <w:keepLines/>
        <w:numPr>
          <w:ilvl w:val="0"/>
          <w:numId w:val="1"/>
        </w:numPr>
      </w:pPr>
      <w:r>
        <w:t xml:space="preserve">The record contains 1 associated party record, 2 transaction records and 1 previous UKFIU URN.</w:t>
      </w:r>
    </w:p>
    <w:p>
      <w:pPr>
        <w:pStyle w:val="Heading1"/>
        <w:keepNext/>
      </w:pPr>
      <w:r>
        <w:t xml:space="preserve">Limitations</w:t>
      </w:r>
    </w:p>
    <w:p>
      <w:pPr>
        <w:pStyle w:val="ListParagraph"/>
        <w:keepNext/>
        <w:keepLines/>
        <w:numPr>
          <w:ilvl w:val="0"/>
          <w:numId w:val="1"/>
        </w:numPr>
      </w:pPr>
      <w:r>
        <w:t xml:space="preserve">This tool checks observable record completeness and consistency. It does not decide whether suspicion exists or whether a report is legally required.</w:t>
      </w:r>
    </w:p>
    <w:p>
      <w:pPr>
        <w:pStyle w:val="ListParagraph"/>
        <w:keepNext/>
        <w:keepLines/>
        <w:numPr>
          <w:ilvl w:val="0"/>
          <w:numId w:val="1"/>
        </w:numPr>
      </w:pPr>
      <w:r>
        <w:t xml:space="preserve">The tool does not submit information to the UK Financial Intelligence Unit, police, a safeguarding body or an emergency service.</w:t>
      </w:r>
    </w:p>
    <w:p>
      <w:pPr>
        <w:pStyle w:val="ListParagraph"/>
        <w:keepNext/>
        <w:keepLines/>
        <w:numPr>
          <w:ilvl w:val="0"/>
          <w:numId w:val="1"/>
        </w:numPr>
      </w:pPr>
      <w:r>
        <w:t xml:space="preserve">DAML and DATF requests, legal privilege, sector-specific reporting questions and consequential action require separate review.</w:t>
      </w:r>
    </w:p>
    <w:p>
      <w:pPr>
        <w:pStyle w:val="ListParagraph"/>
        <w:keepNext w:val="false"/>
        <w:keepLines/>
        <w:numPr>
          <w:ilvl w:val="0"/>
          <w:numId w:val="1"/>
        </w:numPr>
      </w:pPr>
      <w:r>
        <w:t xml:space="preserve">A SAR is not a substitute for reporting crime, safeguarding concerns or immediate danger through the appropriate route.</w:t>
      </w:r>
    </w:p>
    <w:p>
      <w:pPr>
        <w:pStyle w:val="Heading1"/>
        <w:pageBreakBefore/>
      </w:pPr>
      <w:r>
        <w:t xml:space="preserve">Official sources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3072"/>
        <w:gridCol w:w="2784"/>
        <w:gridCol w:w="1248"/>
        <w:gridCol w:w="1922"/>
      </w:tblGrid>
      <w:tr>
        <w:trPr>
          <w:cantSplit/>
          <w:tblHeader/>
        </w:trPr>
        <w:tc>
          <w:tcPr>
            <w:tcW w:type="dxa" w:w="307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Source</w:t>
            </w:r>
          </w:p>
        </w:tc>
        <w:tc>
          <w:tcPr>
            <w:tcW w:type="dxa" w:w="278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Provision</w:t>
            </w:r>
          </w:p>
        </w:tc>
        <w:tc>
          <w:tcPr>
            <w:tcW w:type="dxa" w:w="124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Reviewed</w:t>
            </w:r>
          </w:p>
        </w:tc>
        <w:tc>
          <w:tcPr>
            <w:tcW w:type="dxa" w:w="192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Link</w:t>
            </w:r>
          </w:p>
        </w:tc>
      </w:tr>
      <w:tr>
        <w:trPr>
          <w:cantSplit/>
        </w:trPr>
        <w:tc>
          <w:tcPr>
            <w:tcW w:type="dxa" w:w="30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National Crime Agency, UK Financial Intelligence Unit: SARs guidance: Chapter 2, submitting a SAR</w:t>
            </w:r>
          </w:p>
        </w:tc>
        <w:tc>
          <w:tcPr>
            <w:tcW w:type="dxa" w:w="278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124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tcMar>
              <w:top w:type="dxa" w:w="100"/>
              <w:left w:type="dxa" w:w="120"/>
              <w:bottom w:type="dxa" w:w="100"/>
              <w:right w:type="dxa" w:w="120"/>
            </w:tcMar>
            <w:vAlign w:val="center"/>
          </w:tcPr>
          <w:p>
            <w:pPr>
              <w:spacing w:after="0" w:before="0" w:line="260"/>
            </w:pPr>
            <w:hyperlink w:history="1" r:id="rId_kdw4njtns0dz0q_sy5pb">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HM Revenue &amp; Customs: Suspicious activity reports</w:t>
            </w:r>
          </w:p>
        </w:tc>
        <w:tc>
          <w:tcPr>
            <w:tcW w:type="dxa" w:w="278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124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31 July 2026</w:t>
            </w:r>
          </w:p>
        </w:tc>
        <w:tc>
          <w:tcPr>
            <w:tcW w:type="dxa" w:w="1922"/>
            <w:shd w:fill="F7F7F7"/>
            <w:tcMar>
              <w:top w:type="dxa" w:w="100"/>
              <w:left w:type="dxa" w:w="120"/>
              <w:bottom w:type="dxa" w:w="100"/>
              <w:right w:type="dxa" w:w="120"/>
            </w:tcMar>
            <w:vAlign w:val="center"/>
          </w:tcPr>
          <w:p>
            <w:pPr>
              <w:spacing w:after="0" w:before="0" w:line="260"/>
            </w:pPr>
            <w:hyperlink w:history="1" r:id="rIdq4ytv98bc4agxy6sioeep">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UK Legislation: Proceeds of Crime Act 2002</w:t>
            </w:r>
          </w:p>
        </w:tc>
        <w:tc>
          <w:tcPr>
            <w:tcW w:type="dxa" w:w="278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Sections 330 and 331</w:t>
            </w:r>
          </w:p>
        </w:tc>
        <w:tc>
          <w:tcPr>
            <w:tcW w:type="dxa" w:w="124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tcMar>
              <w:top w:type="dxa" w:w="100"/>
              <w:left w:type="dxa" w:w="120"/>
              <w:bottom w:type="dxa" w:w="100"/>
              <w:right w:type="dxa" w:w="120"/>
            </w:tcMar>
            <w:vAlign w:val="center"/>
          </w:tcPr>
          <w:p>
            <w:pPr>
              <w:spacing w:after="0" w:before="0" w:line="260"/>
            </w:pPr>
            <w:hyperlink w:history="1" r:id="rIdjutdpdp6znoorichscunm">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Home Office: Money laundering: confidentiality and sensitivity of SARs and the identity of those who make them</w:t>
            </w:r>
          </w:p>
        </w:tc>
        <w:tc>
          <w:tcPr>
            <w:tcW w:type="dxa" w:w="278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Home Office circular 022/2015</w:t>
            </w:r>
          </w:p>
        </w:tc>
        <w:tc>
          <w:tcPr>
            <w:tcW w:type="dxa" w:w="124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shd w:fill="F7F7F7"/>
            <w:tcMar>
              <w:top w:type="dxa" w:w="100"/>
              <w:left w:type="dxa" w:w="120"/>
              <w:bottom w:type="dxa" w:w="100"/>
              <w:right w:type="dxa" w:w="120"/>
            </w:tcMar>
            <w:vAlign w:val="center"/>
          </w:tcPr>
          <w:p>
            <w:pPr>
              <w:spacing w:after="0" w:before="0" w:line="260"/>
            </w:pPr>
            <w:hyperlink w:history="1" r:id="rIdbmskywkl8qrfz3qyh95bu">
              <w:r>
                <w:rPr>
                  <w:rFonts w:ascii="Times New Roman" w:cs="Times New Roman" w:eastAsia="Times New Roman" w:hAnsi="Times New Roman"/>
                  <w:b w:val="false"/>
                  <w:bCs w:val="false"/>
                  <w:color w:val="1F1F1F"/>
                  <w:sz w:val="20"/>
                  <w:szCs w:val="20"/>
                  <w:u w:val="single"/>
                </w:rPr>
                <w:t xml:space="preserve">Open official source</w:t>
              </w:r>
            </w:hyperlink>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color w:val="595959"/>
        <w:sz w:val="17"/>
        <w:szCs w:val="17"/>
      </w:rPr>
      <w:t xml:space="preserve">Page </w:t>
    </w:r>
    <w:r>
      <w:rPr>
        <w:rFonts w:ascii="Times New Roman" w:cs="Times New Roman" w:eastAsia="Times New Roman" w:hAnsi="Times New Roman"/>
        <w:color w:val="59595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2"/>
      </w:pBdr>
      <w:spacing w:after="80"/>
    </w:pPr>
    <w:r>
      <w:rPr>
        <w:rFonts w:ascii="Times New Roman" w:cs="Times New Roman" w:eastAsia="Times New Roman" w:hAnsi="Times New Roman"/>
        <w:color w:val="595959"/>
        <w:sz w:val="17"/>
        <w:szCs w:val="17"/>
      </w:rPr>
      <w:t xml:space="preserve">Business Compliance Tools</w:t>
    </w:r>
    <w:r>
      <w:rPr>
        <w:rFonts w:ascii="Times New Roman" w:cs="Times New Roman" w:eastAsia="Times New Roman" w:hAnsi="Times New Roman"/>
        <w:color w:val="595959"/>
        <w:sz w:val="17"/>
        <w:szCs w:val="17"/>
      </w:rPr>
      <w:t xml:space="preserve">  |  Fictional sample | SAR-2026-015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F1F1F"/>
        <w:sz w:val="22"/>
        <w:szCs w:val="22"/>
      </w:rPr>
    </w:rPrDefault>
    <w:pPrDefault>
      <w:pPr>
        <w:spacing w:after="120" w:before="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pPr>
    <w:rPr>
      <w:rFonts w:ascii="Times New Roman" w:cs="Times New Roman" w:eastAsia="Times New Roman" w:hAnsi="Times New Roman"/>
      <w:b/>
      <w:bCs/>
      <w:color w:val="1F1F1F"/>
      <w:sz w:val="28"/>
      <w:szCs w:val="28"/>
    </w:rPr>
  </w:style>
  <w:style w:type="paragraph" w:styleId="Heading2">
    <w:name w:val="Heading 2"/>
    <w:basedOn w:val="Normal"/>
    <w:next w:val="Normal"/>
    <w:qFormat/>
    <w:pPr>
      <w:keepNext/>
      <w:spacing w:after="120" w:before="240"/>
    </w:pPr>
    <w:rPr>
      <w:rFonts w:ascii="Times New Roman" w:cs="Times New Roman" w:eastAsia="Times New Roman" w:hAnsi="Times New Roman"/>
      <w:b/>
      <w:bCs/>
      <w:color w:val="1F1F1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_kdw4njtns0dz0q_sy5pb" Type="http://schemas.openxmlformats.org/officeDocument/2006/relationships/hyperlink" Target="https://www.nationalcrimeagency.gov.uk/who-we-are/publications/775-ukfiu-chapter-2-submitting-a-sar/file" TargetMode="External"/><Relationship Id="rIdq4ytv98bc4agxy6sioeep" Type="http://schemas.openxmlformats.org/officeDocument/2006/relationships/hyperlink" Target="https://www.gov.uk/hmrc-internal-manuals/anti-money-laundering-guidance-for-supervised-businesses/amlg11100" TargetMode="External"/><Relationship Id="rIdjutdpdp6znoorichscunm" Type="http://schemas.openxmlformats.org/officeDocument/2006/relationships/hyperlink" Target="https://www.legislation.gov.uk/ukpga/2002/29/section/330" TargetMode="External"/><Relationship Id="rIdbmskywkl8qrfz3qyh95bu" Type="http://schemas.openxmlformats.org/officeDocument/2006/relationships/hyperlink" Target="https://www.gov.uk/government/publications/circular-0222015-money-laundering-the-confidentiality-and-sensitivity-of-suspicious-activity-reports-sars-and-the-identity-of-those-who-make-them"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Northfield Accountancy Services Ltd: SAR internal decision record</dc:title>
  <dc:subject>SAR-2026-015. Restricted record of the authorised human decision.</dc:subject>
  <dc:creator>Business Compliance Tools</dc:creator>
  <cp:keywords>compliance, evidence, gb</cp:keywords>
  <dc:description>SAR internal decision record</dc:description>
  <cp:lastModifiedBy>Business Compliance Tools</cp:lastModifiedBy>
  <cp:revision>1</cp:revision>
  <dcterms:created xsi:type="dcterms:W3CDTF">2026-08-07T13:51:06.997Z</dcterms:created>
  <dcterms:modified xsi:type="dcterms:W3CDTF">2026-08-07T13:51:06.997Z</dcterms:modified>
</cp:coreProperties>
</file>

<file path=docProps/custom.xml><?xml version="1.0" encoding="utf-8"?>
<Properties xmlns="http://schemas.openxmlformats.org/officeDocument/2006/custom-properties" xmlns:vt="http://schemas.openxmlformats.org/officeDocument/2006/docPropsVTypes"/>
</file>