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Processing activity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Processing activity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FICTIONAL-activities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Maintain US privacy operations records and an optional customer-confirmed GDPR Article 30 edition.</w:t>
      </w:r>
    </w:p>
    <w:p>
      <w:r>
        <w:t xml:space="preserve">Record processing purposes, parties, data and subject categories, recipients, transfers, retention and security measures. The optional GDPR edition requires explicit confirmed cross-border scope and a customer-selected controller or processor role. Role-specific completeness checks organize the record without deciding applicability, exemptions or lawfulness.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 support case handling by the fictional US controller</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Activity. Customer support case handling by the fictional US controller Purpose. Purpose. Customer support case handling by the fictional US controller Edition. US privacy operations Cross Border Need. Not confirmed Role. Controller Organization Contact. Organization Contact. Customer support case handling by the fictional US controller Controller Contact. Controller Contact. Customer support case handling by the fictional US controller Representative Contact. Representative Contact. Customer support case handling by the fictional US controller Dpo Contact. Dpo Contact. Customer support case handling by the fictional US controller Subject Categories. Subject Categories. Customer support case handling by the fictional US controller Data Categories. Data Categories. Customer support case handling by the fictional US controller Processing Categories. Processing Categories. Customer support case handling by the fictional US controller Recipients. Recipients. Customer support case [formal preview abridged]</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3"/>
        <w:gridCol w:w="3627"/>
        <w:gridCol w:w="936"/>
        <w:gridCol w:w="3744"/>
      </w:tblGrid>
      <w:tr>
        <w:trPr>
          <w:cantSplit/>
          <w:tblHeader/>
        </w:trPr>
        <w:tc>
          <w:tcPr>
            <w:tcW w:type="dxa" w:w="10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fictional-activities-source.txt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035bdfe3a185db286013907db75e850549bc2bc36a5318574715d6543d2ebcda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gwtpw6fpsrguuqrdxci4">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Data Protection Board: Be compliant. Obligation to keep records of data processing</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 of the optional customer-confirmed European processing-record edition. The source does not establish applicability to a US organization, a role determination or an exemption.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inuqdn2lch75sl3reem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FICTIONAL-activities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gwtpw6fpsrguuqrdxci4" Type="http://schemas.openxmlformats.org/officeDocument/2006/relationships/hyperlink" Target="https://www.w3.org/TR/prov-dm/" TargetMode="External"/><Relationship Id="rIdoinuqdn2lch75sl3reemz" Type="http://schemas.openxmlformats.org/officeDocument/2006/relationships/hyperlink" Target="https://www.edpb.europa.eu/sme/be-compliant/be-compliant_e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Processing activity register</dc:title>
  <dc:subject>Fictional sample. Requires tailoring and responsible review.</dc:subject>
  <dc:creator>Business Compliance Tools</dc:creator>
  <cp:keywords>compliance, evidence, us</cp:keywords>
  <dc:description>Processing activity register</dc:description>
  <cp:lastModifiedBy>Business Compliance Tools</cp:lastModifiedBy>
  <cp:revision>1</cp:revision>
  <dcterms:created xsi:type="dcterms:W3CDTF">2026-10-08T23:06:32.342Z</dcterms:created>
  <dcterms:modified xsi:type="dcterms:W3CDTF">2026-10-08T23:06:32.342Z</dcterms:modified>
</cp:coreProperties>
</file>

<file path=docProps/custom.xml><?xml version="1.0" encoding="utf-8"?>
<Properties xmlns="http://schemas.openxmlformats.org/officeDocument/2006/custom-properties" xmlns:vt="http://schemas.openxmlformats.org/officeDocument/2006/docPropsVTypes"/>
</file>