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Review incentive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incentive register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FICTIONAL-reviewIncentives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review benefits, disclosure versions, approved conditions and actual publication evidence.</w:t>
      </w:r>
    </w:p>
    <w:p>
      <w:r>
        <w:t xml:space="preserve">Preserve the offered benefit, value/currency, recipient scope and disclosure version. An approved practice requires its reviewer and disclosure. Published reviews need the actual publication record and disclosed-benefit evidence. A condition requiring positive sentiment remains an explicit exception; no legality is inferred.</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Fictional fixed review participation benefit regardless of sentiment</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54"/>
        <w:gridCol w:w="1186"/>
        <w:gridCol w:w="2900"/>
        <w:gridCol w:w="4220"/>
      </w:tblGrid>
      <w:tr>
        <w:trPr>
          <w:cantSplit/>
          <w:tblHeader/>
        </w:trPr>
        <w:tc>
          <w:tcPr>
            <w:tcW w:type="dxa" w:w="1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Published</w:t>
            </w:r>
          </w:p>
        </w:tc>
        <w:tc>
          <w:tcPr>
            <w:tcW w:type="dxa" w:w="29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Benefit. Benefit. Fictional fixed review participation benefit regardless of sentiment Benefit Value. 100 Currency. USD Recipient Scope. Recipient Scope. Fictional fixed review participation benefit regardless of sentiment Sentiment Condition. No sentiment condition Disclosure Version. 1 Disclosure Text. Disclosure Text. Fictional fixed review participation benefit regardless of sentiment Approved By. Approved By. Fictional fixed review participation benefit regardless of sentiment Approved On. 2026-10-01 Publication reference. Publication reference. Fictional fixed review participation benefit regardless of sentiment Published On. 2026-10-01 Disclosure Evidence. Disclosure Evidence. Fictional fixed review participation benefit regardless of sentiment</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fictional-reviewIncentives-source.txt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304</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7687889d01800a2982da199af39f020fdba3dc37b39a07d2c36e67ae194eb067</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bkpaotdbzl_sdhhcdlzfo">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FICTIONAL-reviewIncentives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kpaotdbzl_sdhhcdlzfo"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incentive register</dc:title>
  <dc:subject>Fictional sample. Requires tailoring and responsible review.</dc:subject>
  <dc:creator>Business Compliance Tools</dc:creator>
  <cp:keywords>compliance, evidence, us</cp:keywords>
  <dc:description>Review incentive register</dc:description>
  <cp:lastModifiedBy>Business Compliance Tools</cp:lastModifiedBy>
  <cp:revision>1</cp:revision>
  <dcterms:created xsi:type="dcterms:W3CDTF">2026-10-08T23:06:32.790Z</dcterms:created>
  <dcterms:modified xsi:type="dcterms:W3CDTF">2026-10-08T23:06:32.790Z</dcterms:modified>
</cp:coreProperties>
</file>

<file path=docProps/custom.xml><?xml version="1.0" encoding="utf-8"?>
<Properties xmlns="http://schemas.openxmlformats.org/officeDocument/2006/custom-properties" xmlns:vt="http://schemas.openxmlformats.org/officeDocument/2006/docPropsVTypes"/>
</file>