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header+xml" PartName="/word/header1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spacing w:after="220" w:before="100"/>
      </w:pPr>
      <w:r>
        <w:rPr>
          <w:rFonts w:ascii="Times New Roman" w:cs="Times New Roman" w:eastAsia="Times New Roman" w:hAnsi="Times New Roman"/>
          <w:b/>
          <w:bCs/>
          <w:color w:val="595959"/>
          <w:sz w:val="18"/>
          <w:szCs w:val="18"/>
        </w:rPr>
        <w:t xml:space="preserve">COMPLIANCE WORKING RECORD</w:t>
      </w:r>
    </w:p>
    <w:p>
      <w:pPr>
        <w:spacing w:after="100" w:line="500"/>
      </w:pPr>
      <w:r>
        <w:rPr>
          <w:rFonts w:ascii="Times New Roman" w:cs="Times New Roman" w:eastAsia="Times New Roman" w:hAnsi="Times New Roman"/>
          <w:b/>
          <w:bCs/>
          <w:color w:val="1F1F1F"/>
          <w:sz w:val="40"/>
          <w:szCs w:val="40"/>
        </w:rPr>
        <w:t xml:space="preserve">Website compliance checklist</w:t>
      </w:r>
    </w:p>
    <w:p>
      <w:pPr>
        <w:spacing w:after="320" w:line="340"/>
      </w:pPr>
      <w:r>
        <w:rPr>
          <w:rFonts w:ascii="Times New Roman" w:cs="Times New Roman" w:eastAsia="Times New Roman" w:hAnsi="Times New Roman"/>
          <w:color w:val="333333"/>
          <w:sz w:val="22"/>
          <w:szCs w:val="22"/>
        </w:rPr>
        <w:t xml:space="preserve">Preparation for a scoped US website review</w:t>
      </w:r>
    </w:p>
    <w:p>
      <w:pPr>
        <w:pStyle w:val="Heading2"/>
      </w:pPr>
      <w:r>
        <w:t xml:space="preserve">Document control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3369"/>
        <w:gridCol w:w="5991"/>
      </w:tblGrid>
      <w:tr>
        <w:trPr>
          <w:cantSplit/>
          <w:tblHeader/>
        </w:trPr>
        <w:tc>
          <w:tcPr>
            <w:tcW w:type="dxa" w:w="3369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Field</w:t>
            </w:r>
          </w:p>
        </w:tc>
        <w:tc>
          <w:tcPr>
            <w:tcW w:type="dxa" w:w="5991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Value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Organization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Business Compliance Tools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type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Compliance evidence report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Document reference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BCT-WEBSITE-CHECKLIST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Version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2026-10-24.1</w:t>
            </w:r>
          </w:p>
        </w:tc>
      </w:tr>
      <w:tr>
        <w:trPr>
          <w:cantSplit/>
        </w:trPr>
        <w:tc>
          <w:tcPr>
            <w:tcW w:type="dxa" w:w="3369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Classification</w:t>
            </w:r>
          </w:p>
        </w:tc>
        <w:tc>
          <w:tcPr>
            <w:tcW w:type="dxa" w:w="5991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Requires tailoring and responsible review</w:t>
            </w:r>
          </w:p>
        </w:tc>
      </w:tr>
      <w:tr>
        <w:trPr>
          <w:cantSplit/>
        </w:trPr>
        <w:tc>
          <w:tcPr>
            <w:tcW w:type="dxa" w:w="3369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Generated</w:t>
            </w:r>
          </w:p>
        </w:tc>
        <w:tc>
          <w:tcPr>
            <w:tcW w:type="dxa" w:w="5991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October 24, 2026</w:t>
            </w:r>
          </w:p>
        </w:tc>
      </w:tr>
    </w:tbl>
    <w:p>
      <w:pPr>
        <w:pStyle w:val="Heading1"/>
      </w:pPr>
      <w:r>
        <w:t xml:space="preserve">Source information</w:t>
      </w:r>
    </w:p>
    <w:p>
      <w:r>
        <w:t xml:space="preserve">Review scope and method from the Business Compliance Tools website review service. This checklist does not determine legal applicability.</w:t>
      </w:r>
    </w:p>
    <w:p>
      <w:pPr>
        <w:pStyle w:val="Heading1"/>
      </w:pPr>
      <w:r>
        <w:t xml:space="preserve">How to use the checklist</w:t>
      </w:r>
    </w:p>
    <w:p>
      <w:r>
        <w:t xml:space="preserve">Choose representative pages and customer tasks. Keep evidence on your own device. Record each item as checked, issue found, not checked, or outside scope.</w:t>
      </w:r>
    </w:p>
    <w:p>
      <w:r>
        <w:t xml:space="preserve">Document the website version, date, browser, region, test state, and reviewer. Resolve legal applicability with qualified advice before treating a checklist item as a legal requirement.</w:t>
      </w:r>
    </w:p>
    <w:p>
      <w:pPr>
        <w:pStyle w:val="Heading1"/>
      </w:pPr>
      <w:r>
        <w:t xml:space="preserve">Policies and website consistency</w:t>
      </w:r>
    </w:p>
    <w:p>
      <w:pPr>
        <w:pStyle w:val="ListParagraph"/>
        <w:numPr>
          <w:ilvl w:val="0"/>
          <w:numId w:val="1"/>
        </w:numPr>
      </w:pPr>
      <w:r>
        <w:t xml:space="preserve">Confirm the same seller name and monitored contact details appear throughout the website.</w:t>
      </w:r>
    </w:p>
    <w:p>
      <w:pPr>
        <w:pStyle w:val="ListParagraph"/>
        <w:numPr>
          <w:ilvl w:val="0"/>
          <w:numId w:val="1"/>
        </w:numPr>
      </w:pPr>
      <w:r>
        <w:t xml:space="preserve">Compare the terms, refund policy, FAQ, and checkout for conflicting promises.</w:t>
      </w:r>
    </w:p>
    <w:p>
      <w:pPr>
        <w:pStyle w:val="ListParagraph"/>
        <w:numPr>
          <w:ilvl w:val="0"/>
          <w:numId w:val="1"/>
        </w:numPr>
      </w:pPr>
      <w:r>
        <w:t xml:space="preserve">Check that linked policy pages open from the relevant customer journey.</w:t>
      </w:r>
    </w:p>
    <w:p>
      <w:pPr>
        <w:pStyle w:val="ListParagraph"/>
        <w:numPr>
          <w:ilvl w:val="0"/>
          <w:numId w:val="1"/>
        </w:numPr>
      </w:pPr>
      <w:r>
        <w:t xml:space="preserve">Record the policy version and date used during the check.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265"/>
        <w:gridCol w:w="4095"/>
      </w:tblGrid>
      <w:tr>
        <w:trPr>
          <w:cantSplit/>
          <w:tblHeader/>
        </w:trPr>
        <w:tc>
          <w:tcPr>
            <w:tcW w:type="dxa" w:w="52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Item</w:t>
            </w:r>
          </w:p>
        </w:tc>
        <w:tc>
          <w:tcPr>
            <w:tcW w:type="dxa" w:w="40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owner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Outcome and date</w:t>
            </w:r>
          </w:p>
        </w:tc>
        <w:tc>
          <w:tcPr>
            <w:tcW w:type="dxa" w:w="40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Fix and retest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</w:tbl>
    <w:p>
      <w:pPr>
        <w:pStyle w:val="Heading1"/>
      </w:pPr>
      <w:r>
        <w:t xml:space="preserve">Accessibility</w:t>
      </w:r>
    </w:p>
    <w:p>
      <w:pPr>
        <w:pStyle w:val="ListParagraph"/>
        <w:numPr>
          <w:ilvl w:val="0"/>
          <w:numId w:val="1"/>
        </w:numPr>
      </w:pPr>
      <w:r>
        <w:t xml:space="preserve">Complete the main task using a keyboard and check visible focus throughout.</w:t>
      </w:r>
    </w:p>
    <w:p>
      <w:pPr>
        <w:pStyle w:val="ListParagraph"/>
        <w:numPr>
          <w:ilvl w:val="0"/>
          <w:numId w:val="1"/>
        </w:numPr>
      </w:pPr>
      <w:r>
        <w:t xml:space="preserve">Check form labels, instructions, errors, and successful submission with a screen reader.</w:t>
      </w:r>
    </w:p>
    <w:p>
      <w:pPr>
        <w:pStyle w:val="ListParagraph"/>
        <w:numPr>
          <w:ilvl w:val="0"/>
          <w:numId w:val="1"/>
        </w:numPr>
      </w:pPr>
      <w:r>
        <w:t xml:space="preserve">Check contrast, text zoom, and the mobile layout on representative templates.</w:t>
      </w:r>
    </w:p>
    <w:p>
      <w:pPr>
        <w:pStyle w:val="ListParagraph"/>
        <w:numPr>
          <w:ilvl w:val="0"/>
          <w:numId w:val="1"/>
        </w:numPr>
      </w:pPr>
      <w:r>
        <w:t xml:space="preserve">Review important documents and record the tested pages and states. Automated results alone do not establish conformance.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265"/>
        <w:gridCol w:w="4095"/>
      </w:tblGrid>
      <w:tr>
        <w:trPr>
          <w:cantSplit/>
          <w:tblHeader/>
        </w:trPr>
        <w:tc>
          <w:tcPr>
            <w:tcW w:type="dxa" w:w="52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Item</w:t>
            </w:r>
          </w:p>
        </w:tc>
        <w:tc>
          <w:tcPr>
            <w:tcW w:type="dxa" w:w="40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owner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Outcome and date</w:t>
            </w:r>
          </w:p>
        </w:tc>
        <w:tc>
          <w:tcPr>
            <w:tcW w:type="dxa" w:w="40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Fix and retest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</w:tbl>
    <w:p>
      <w:pPr>
        <w:pStyle w:val="Heading1"/>
      </w:pPr>
      <w:r>
        <w:t xml:space="preserve">Privacy and tracking</w:t>
      </w:r>
    </w:p>
    <w:p>
      <w:pPr>
        <w:pStyle w:val="ListParagraph"/>
        <w:numPr>
          <w:ilvl w:val="0"/>
          <w:numId w:val="1"/>
        </w:numPr>
      </w:pPr>
      <w:r>
        <w:t xml:space="preserve">Record third-party requests and accessible cookies before interacting with the consent controls.</w:t>
      </w:r>
    </w:p>
    <w:p>
      <w:pPr>
        <w:pStyle w:val="ListParagraph"/>
        <w:numPr>
          <w:ilvl w:val="0"/>
          <w:numId w:val="1"/>
        </w:numPr>
      </w:pPr>
      <w:r>
        <w:t xml:space="preserve">Compare observed trackers and form disclosures with the privacy notice.</w:t>
      </w:r>
    </w:p>
    <w:p>
      <w:pPr>
        <w:pStyle w:val="ListParagraph"/>
        <w:numPr>
          <w:ilvl w:val="0"/>
          <w:numId w:val="1"/>
        </w:numPr>
      </w:pPr>
      <w:r>
        <w:t xml:space="preserve">Check the agreed opt-out and consent behavior, including Global Privacy Control where applicable.</w:t>
      </w:r>
    </w:p>
    <w:p>
      <w:pPr>
        <w:pStyle w:val="ListParagraph"/>
        <w:numPr>
          <w:ilvl w:val="0"/>
          <w:numId w:val="1"/>
        </w:numPr>
      </w:pPr>
      <w:r>
        <w:t xml:space="preserve">Record the browser, region, session state, and limitations. A request host alone does not establish unlawful tracking.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265"/>
        <w:gridCol w:w="4095"/>
      </w:tblGrid>
      <w:tr>
        <w:trPr>
          <w:cantSplit/>
          <w:tblHeader/>
        </w:trPr>
        <w:tc>
          <w:tcPr>
            <w:tcW w:type="dxa" w:w="52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Item</w:t>
            </w:r>
          </w:p>
        </w:tc>
        <w:tc>
          <w:tcPr>
            <w:tcW w:type="dxa" w:w="40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owner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Outcome and date</w:t>
            </w:r>
          </w:p>
        </w:tc>
        <w:tc>
          <w:tcPr>
            <w:tcW w:type="dxa" w:w="40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Fix and retest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</w:tbl>
    <w:p>
      <w:pPr>
        <w:pStyle w:val="Heading1"/>
      </w:pPr>
      <w:r>
        <w:t xml:space="preserve">Pricing and subscriptions</w:t>
      </w:r>
    </w:p>
    <w:p>
      <w:pPr>
        <w:pStyle w:val="ListParagraph"/>
        <w:numPr>
          <w:ilvl w:val="0"/>
          <w:numId w:val="1"/>
        </w:numPr>
      </w:pPr>
      <w:r>
        <w:t xml:space="preserve">Record the full price and each mandatory charge shown before the customer commits.</w:t>
      </w:r>
    </w:p>
    <w:p>
      <w:pPr>
        <w:pStyle w:val="ListParagraph"/>
        <w:numPr>
          <w:ilvl w:val="0"/>
          <w:numId w:val="1"/>
        </w:numPr>
      </w:pPr>
      <w:r>
        <w:t xml:space="preserve">Show the renewal price, billing interval, trial length, and conversion date clearly.</w:t>
      </w:r>
    </w:p>
    <w:p>
      <w:pPr>
        <w:pStyle w:val="ListParagraph"/>
        <w:numPr>
          <w:ilvl w:val="0"/>
          <w:numId w:val="1"/>
        </w:numPr>
      </w:pPr>
      <w:r>
        <w:t xml:space="preserve">Record the consent step, acknowledgment, and required reminder workflow for applicable laws.</w:t>
      </w:r>
    </w:p>
    <w:p>
      <w:pPr>
        <w:pStyle w:val="ListParagraph"/>
        <w:numPr>
          <w:ilvl w:val="0"/>
          <w:numId w:val="1"/>
        </w:numPr>
      </w:pPr>
      <w:r>
        <w:t xml:space="preserve">Complete the cancellation path and compare it with the published instructions.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265"/>
        <w:gridCol w:w="4095"/>
      </w:tblGrid>
      <w:tr>
        <w:trPr>
          <w:cantSplit/>
          <w:tblHeader/>
        </w:trPr>
        <w:tc>
          <w:tcPr>
            <w:tcW w:type="dxa" w:w="52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Item</w:t>
            </w:r>
          </w:p>
        </w:tc>
        <w:tc>
          <w:tcPr>
            <w:tcW w:type="dxa" w:w="40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owner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Outcome and date</w:t>
            </w:r>
          </w:p>
        </w:tc>
        <w:tc>
          <w:tcPr>
            <w:tcW w:type="dxa" w:w="40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Fix and retest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</w:tbl>
    <w:p>
      <w:pPr>
        <w:pStyle w:val="Heading1"/>
      </w:pPr>
      <w:r>
        <w:t xml:space="preserve">Customer journeys</w:t>
      </w:r>
    </w:p>
    <w:p>
      <w:pPr>
        <w:pStyle w:val="ListParagraph"/>
        <w:numPr>
          <w:ilvl w:val="0"/>
          <w:numId w:val="1"/>
        </w:numPr>
      </w:pPr>
      <w:r>
        <w:t xml:space="preserve">Complete the agreed purchase, registration, booking, or contact task on desktop and mobile.</w:t>
      </w:r>
    </w:p>
    <w:p>
      <w:pPr>
        <w:pStyle w:val="ListParagraph"/>
        <w:numPr>
          <w:ilvl w:val="0"/>
          <w:numId w:val="1"/>
        </w:numPr>
      </w:pPr>
      <w:r>
        <w:t xml:space="preserve">Check broken links, validation errors, recovery steps, and confirmation messages.</w:t>
      </w:r>
    </w:p>
    <w:p>
      <w:pPr>
        <w:pStyle w:val="ListParagraph"/>
        <w:numPr>
          <w:ilvl w:val="0"/>
          <w:numId w:val="1"/>
        </w:numPr>
      </w:pPr>
      <w:r>
        <w:t xml:space="preserve">Confirm that safe entered information survives a recoverable error.</w:t>
      </w:r>
    </w:p>
    <w:p>
      <w:pPr>
        <w:pStyle w:val="ListParagraph"/>
        <w:numPr>
          <w:ilvl w:val="0"/>
          <w:numId w:val="1"/>
        </w:numPr>
      </w:pPr>
      <w:r>
        <w:t xml:space="preserve">Assign each finding an evidence reference, owner, recommended fix, and retest status.</w:t>
      </w:r>
    </w:p>
    <w:tbl>
      <w:tblPr>
        <w:tblW w:type="dxa" w:w="9360"/>
        <w:tblInd w:type="dxa" w:w="120"/>
        <w:tblBorders>
          <w:top w:val="single" w:color="BFBFBF" w:sz="4"/>
          <w:left w:val="single" w:color="BFBFBF" w:sz="4"/>
          <w:bottom w:val="single" w:color="BFBFBF" w:sz="4"/>
          <w:right w:val="single" w:color="BFBFBF" w:sz="4"/>
          <w:insideH w:val="single" w:color="D9D9D9" w:sz="2"/>
          <w:insideV w:val="single" w:color="D9D9D9" w:sz="2"/>
        </w:tblBorders>
        <w:tblLayout w:type="fixed"/>
      </w:tblPr>
      <w:tblGrid>
        <w:gridCol w:w="5265"/>
        <w:gridCol w:w="4095"/>
      </w:tblGrid>
      <w:tr>
        <w:trPr>
          <w:cantSplit/>
          <w:tblHeader/>
        </w:trPr>
        <w:tc>
          <w:tcPr>
            <w:tcW w:type="dxa" w:w="526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Item</w:t>
            </w:r>
          </w:p>
        </w:tc>
        <w:tc>
          <w:tcPr>
            <w:tcW w:type="dxa" w:w="4095"/>
            <w:shd w:fill="E7E6E6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/>
                <w:bCs/>
                <w:color w:val="1F1F1F"/>
                <w:sz w:val="20"/>
                <w:szCs w:val="20"/>
              </w:rPr>
              <w:t xml:space="preserve">Record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Evidence and owner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Outcome and date</w:t>
            </w:r>
          </w:p>
        </w:tc>
        <w:tc>
          <w:tcPr>
            <w:tcW w:type="dxa" w:w="4095"/>
            <w:shd w:fill="F7F7F7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  <w:tr>
        <w:trPr>
          <w:cantSplit/>
        </w:trPr>
        <w:tc>
          <w:tcPr>
            <w:tcW w:type="dxa" w:w="526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Fix and retest</w:t>
            </w:r>
          </w:p>
        </w:tc>
        <w:tc>
          <w:tcPr>
            <w:tcW w:type="dxa" w:w="4095"/>
            <w:tcMar>
              <w:top w:type="dxa" w:w="100"/>
              <w:left w:type="dxa" w:w="120"/>
              <w:bottom w:type="dxa" w:w="100"/>
              <w:right w:type="dxa" w:w="120"/>
            </w:tcMar>
            <w:vAlign w:val="center"/>
          </w:tcPr>
          <w:p>
            <w:pPr>
              <w:spacing w:after="0" w:before="0" w:line="260"/>
            </w:pPr>
            <w:r>
              <w:rPr>
                <w:rFonts w:ascii="Times New Roman" w:cs="Times New Roman" w:eastAsia="Times New Roman" w:hAnsi="Times New Roman"/>
                <w:b w:val="false"/>
                <w:bCs w:val="false"/>
                <w:color w:val="333333"/>
                <w:sz w:val="20"/>
                <w:szCs w:val="20"/>
              </w:rPr>
              <w:t xml:space="preserve">Record locally</w:t>
            </w:r>
          </w:p>
        </w:tc>
      </w:tr>
    </w:tbl>
    <w:p>
      <w:pPr>
        <w:pStyle w:val="Heading1"/>
      </w:pPr>
      <w:r>
        <w:t xml:space="preserve">Limits</w:t>
      </w:r>
    </w:p>
    <w:p>
      <w:r>
        <w:t xml:space="preserve">This is a preparation checklist, not legal advice, a legal opinion, or compliance certification. Your team implements and verifies changes. A completed checklist does not establish WCAG conformance or that every applicable law has been assessed.</w:t>
      </w:r>
    </w:p>
    <w:sectPr>
      <w:headerReference w:type="default" r:id="rId7"/>
      <w:footerReference w:type="default" r:id="rId8"/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right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Requires tailoring and responsible review  |  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Page </w:t>
    </w:r>
    <w:r>
      <w:rPr>
        <w:rFonts w:ascii="Times New Roman" w:cs="Times New Roman" w:eastAsia="Times New Roman" w:hAnsi="Times New Roman"/>
        <w:color w:val="595959"/>
        <w:sz w:val="18"/>
        <w:szCs w:val="18"/>
      </w:rPr>
      <w:fldChar w:fldCharType="begin"/>
      <w:instrText xml:space="preserve">PAGE</w:instrText>
      <w:fldChar w:fldCharType="separate"/>
      <w:fldChar w:fldCharType="end"/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w16cid="http://schemas.microsoft.com/office/word/2016/wordml/cid" xmlns:w16se="http://schemas.microsoft.com/office/word/2015/wordml/symex">
  <w:p>
    <w:pPr>
      <w:pBdr>
        <w:bottom w:val="single" w:color="D9D9D9" w:sz="2"/>
      </w:pBdr>
      <w:spacing w:after="80"/>
    </w:pP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Business Compliance Tools</w:t>
    </w:r>
    <w:r>
      <w:rPr>
        <w:rFonts w:ascii="Times New Roman" w:cs="Times New Roman" w:eastAsia="Times New Roman" w:hAnsi="Times New Roman"/>
        <w:color w:val="595959"/>
        <w:sz w:val="17"/>
        <w:szCs w:val="17"/>
      </w:rPr>
      <w:t xml:space="preserve">  |  BCT-WEBSITE-CHECKLIST</w:t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1F1F1F"/>
        <w:sz w:val="22"/>
        <w:szCs w:val="22"/>
      </w:rPr>
    </w:rPrDefault>
    <w:pPrDefault>
      <w:pPr>
        <w:spacing w:after="120" w:before="0" w:line="276"/>
      </w:pPr>
    </w:pPrDefault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  <w:style w:type="paragraph" w:styleId="Heading1">
    <w:name w:val="Heading 1"/>
    <w:basedOn w:val="Normal"/>
    <w:next w:val="Normal"/>
    <w:qFormat/>
    <w:pPr>
      <w:keepNext/>
      <w:spacing w:after="160" w:before="320"/>
    </w:pPr>
    <w:rPr>
      <w:rFonts w:ascii="Times New Roman" w:cs="Times New Roman" w:eastAsia="Times New Roman" w:hAnsi="Times New Roman"/>
      <w:b/>
      <w:bCs/>
      <w:color w:val="1F1F1F"/>
      <w:sz w:val="28"/>
      <w:szCs w:val="28"/>
    </w:rPr>
  </w:style>
  <w:style w:type="paragraph" w:styleId="Heading2">
    <w:name w:val="Heading 2"/>
    <w:basedOn w:val="Normal"/>
    <w:next w:val="Normal"/>
    <w:qFormat/>
    <w:pPr>
      <w:keepNext/>
      <w:spacing w:after="120" w:before="240"/>
    </w:pPr>
    <w:rPr>
      <w:rFonts w:ascii="Times New Roman" w:cs="Times New Roman" w:eastAsia="Times New Roman" w:hAnsi="Times New Roman"/>
      <w:b/>
      <w:bCs/>
      <w:color w:val="1F1F1F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header" Target="header1.xml"/><Relationship Id="rId8" Type="http://schemas.openxmlformats.org/officeDocument/2006/relationships/footer" Target="footer1.xml"/><Relationship Id="rId9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_rels/header1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Website compliance checklist</dc:title>
  <dc:subject>Preparation for a scoped US website review</dc:subject>
  <dc:creator>Business Compliance Tools</dc:creator>
  <cp:keywords>compliance, evidence</cp:keywords>
  <dc:description>Compliance evidence report</dc:description>
  <cp:lastModifiedBy>Business Compliance Tools</cp:lastModifiedBy>
  <cp:revision>1</cp:revision>
  <dcterms:created xsi:type="dcterms:W3CDTF">2026-10-24T10:50:08.907Z</dcterms:created>
  <dcterms:modified xsi:type="dcterms:W3CDTF">2026-10-24T10:50:08.907Z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