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Human reconsideration workflow</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10"/>
        <w:gridCol w:w="5850"/>
      </w:tblGrid>
      <w:tr>
        <w:trPr>
          <w:cantSplit/>
          <w:tblHeader/>
        </w:trPr>
        <w:tc>
          <w:tcPr>
            <w:tcW w:type="dxa" w:w="35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8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Human reconsideration workflow</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FICTIONAL-reconsiderations</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Record reconsideration of an AI-influenced outcome, an independent reviewer, evidence, actual result and communication.</w:t>
      </w:r>
    </w:p>
    <w:p>
      <w:r>
        <w:t xml:space="preserve">Keep the original decision maker separate from the reconsideration reviewer. Require outcome evidence, recorded reasoning and result before a reviewed request is communicated or closed. The ledger does not decide whether a result is lawful or fair.</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Reconsider the candidate routing outcome after the source record was corrected</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reference. Subject reference. Reconsider the candidate routing outcome after the source record was corrected Original Outcome. Original Outcome. Reconsider the candidate routing outcome after the source record was corrected</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EVENT-4</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fictional-reconsiderations-evidence.txt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343</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80852c15827b8180f43b89bb96131df4e2a858bc2a07e4aa39a7e1b625d80210</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nopmsl1tyqpx7shjaczv8">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qaft8byisyvzaazhlvw9j">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FICTIONAL-reconsiderations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nopmsl1tyqpx7shjaczv8" Type="http://schemas.openxmlformats.org/officeDocument/2006/relationships/hyperlink" Target="https://www.w3.org/TR/prov-dm/" TargetMode="External"/><Relationship Id="rIdqaft8byisyvzaazhlvw9j"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reconsideration workflow</dc:title>
  <dc:subject>Fictional sample. Requires tailoring and responsible review.</dc:subject>
  <dc:creator>Business Compliance Tools</dc:creator>
  <cp:keywords>compliance, evidence, us</cp:keywords>
  <dc:description>Human reconsideration workflow</dc:description>
  <cp:lastModifiedBy>Business Compliance Tools</cp:lastModifiedBy>
  <cp:revision>1</cp:revision>
  <dcterms:created xsi:type="dcterms:W3CDTF">2026-10-08T22:30:02.615Z</dcterms:created>
  <dcterms:modified xsi:type="dcterms:W3CDTF">2026-10-08T22:30:02.615Z</dcterms:modified>
</cp:coreProperties>
</file>

<file path=docProps/custom.xml><?xml version="1.0" encoding="utf-8"?>
<Properties xmlns="http://schemas.openxmlformats.org/officeDocument/2006/custom-properties" xmlns:vt="http://schemas.openxmlformats.org/officeDocument/2006/docPropsVTypes"/>
</file>