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Risk treatment planner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662"/>
        <w:gridCol w:w="5698"/>
      </w:tblGrid>
      <w:tr>
        <w:trPr>
          <w:cantSplit/>
          <w:tblHeader/>
        </w:trPr>
        <w:tc>
          <w:tcPr>
            <w:tcW w:type="dxa" w:w="366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6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Risk treatment planner</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FICTIONAL-riskTreatments</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reported tasks</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owner</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2026-10-09.workflow-ledger.1</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Track customer-approved risk treatments, action prerequisites, accountable owners and actual outcomes.</w:t>
      </w:r>
    </w:p>
    <w:p>
      <w:r>
        <w:t xml:space="preserve">Link each treatment to the risk, approved option and assessment version. Identify missing prerequisites and cycles. Completion requires an actual treatment result and reviewer evidence. No control effectiveness or residual risk reduction is invented.</w:t>
      </w:r>
    </w:p>
    <w:p>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pPr>
      <w:r>
        <w:t xml:space="preserve">Declared review scope</w:t>
      </w:r>
    </w:p>
    <w:p>
      <w:r>
        <w:t xml:space="preserve">Fictional selected population. Implement the customer-selected access-review treatment</w:t>
      </w:r>
    </w:p>
    <w:p>
      <w:pPr>
        <w:pStyle w:val="Heading1"/>
      </w:pPr>
      <w:r>
        <w:t xml:space="preserve">Named task population</w:t>
      </w:r>
    </w:p>
    <w:p>
      <w:r>
        <w:t xml:space="preserve">Current facts and every reported stage snapshot remain complete in the Excel and JSON outputs. This formal preview shows the first 20 task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25"/>
        <w:gridCol w:w="1153"/>
        <w:gridCol w:w="3077"/>
        <w:gridCol w:w="4105"/>
      </w:tblGrid>
      <w:tr>
        <w:trPr>
          <w:cantSplit/>
          <w:tblHeader/>
        </w:trPr>
        <w:tc>
          <w:tcPr>
            <w:tcW w:type="dxa" w:w="1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15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307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1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115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Completed</w:t>
            </w:r>
          </w:p>
        </w:tc>
        <w:tc>
          <w:tcPr>
            <w:tcW w:type="dxa" w:w="3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workflow owner</w:t>
            </w:r>
          </w:p>
        </w:tc>
        <w:tc>
          <w:tcPr>
            <w:tcW w:type="dxa" w:w="41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Risk reference. Risk reference. Implement the customer-selected access-review treatment Assessment Version. 1</w:t>
            </w:r>
          </w:p>
        </w:tc>
      </w:tr>
    </w:tbl>
    <w:p>
      <w:pPr>
        <w:pStyle w:val="Heading1"/>
      </w:pPr>
      <w:r>
        <w:t xml:space="preserve">Review findings</w:t>
      </w:r>
    </w:p>
    <w:p>
      <w:r>
        <w:t xml:space="preserve">1 selected task items, 1 consistent customer-declared completions and 0 unresolved or outstanding findings.</w:t>
      </w:r>
    </w:p>
    <w:p>
      <w:r>
        <w:t xml:space="preserve">Formal report findings display at most 100 rows and 1000 characters per field. Complete accepted task rows, stage snapshots, reported transitions, selected requirement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552"/>
        <w:gridCol w:w="957"/>
        <w:gridCol w:w="2446"/>
        <w:gridCol w:w="3405"/>
      </w:tblGrid>
      <w:tr>
        <w:trPr>
          <w:cantSplit/>
          <w:tblHeader/>
        </w:trPr>
        <w:tc>
          <w:tcPr>
            <w:tcW w:type="dxa" w:w="25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4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EVENT-2</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task item</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by declaration</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task-specific reported sequence, required stage facts and selected evidence are consistent. Completion remains customer-declared.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Source authority, identity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fictional-riskTreatments-evidence.txt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327</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1899b3b62b8b9c4feaf9469b25346ccc9d27fb0bb7f7731a2de834628ef0ab8a</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relationships among source entities, actual reported activities and responsible agents. This modeling reference supplies no legal requirements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pp9tbbxgflcgjmfhz6uqk">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timestamp and UTC-offset syntax. The supported subset uses seconds and confirmed offsets, without leap seconds or unknown local offsets. It supplies no legal clocks or deadlines.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bhhykvvqs4eflt69mg6qs">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FICTIONAL-riskTreatments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pp9tbbxgflcgjmfhz6uqk" Type="http://schemas.openxmlformats.org/officeDocument/2006/relationships/hyperlink" Target="https://www.w3.org/TR/prov-dm/" TargetMode="External"/><Relationship Id="rIdbhhykvvqs4eflt69mg6qs" Type="http://schemas.openxmlformats.org/officeDocument/2006/relationships/hyperlink" Target="https://www.rfc-editor.org/rfc/rfc3339.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treatment planner</dc:title>
  <dc:subject>Fictional sample. Requires tailoring and responsible review.</dc:subject>
  <dc:creator>Business Compliance Tools</dc:creator>
  <cp:keywords>compliance, evidence, us</cp:keywords>
  <dc:description>Risk treatment planner</dc:description>
  <cp:lastModifiedBy>Business Compliance Tools</cp:lastModifiedBy>
  <cp:revision>1</cp:revision>
  <dcterms:created xsi:type="dcterms:W3CDTF">2026-10-08T22:30:03.066Z</dcterms:created>
  <dcterms:modified xsi:type="dcterms:W3CDTF">2026-10-08T22:30:03.066Z</dcterms:modified>
</cp:coreProperties>
</file>

<file path=docProps/custom.xml><?xml version="1.0" encoding="utf-8"?>
<Properties xmlns="http://schemas.openxmlformats.org/officeDocument/2006/custom-properties" xmlns:vt="http://schemas.openxmlformats.org/officeDocument/2006/docPropsVTypes"/>
</file>