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Legal-hold implementation tracker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Legal-hold implementation tracker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FICTIONAL-legalHolds</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reported tasks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owner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2026-10-09.workflow-ledger.1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Track customer-approved legal holds, affected scope, actual implementation, acknowledgment and release evidence.</w:t>
      </w:r>
    </w:p>
    <w:p>
      <w:r>
        <w:t xml:space="preserve">Keep the matter, hold instruction, custodian and record scope explicit. Implementation requires actual evidence and approval. Acknowledgment remains reported. Release requires a separate authorized instruction and date. No hold is imposed or released by the tool.</w:t>
      </w:r>
    </w:p>
    <w:p>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pPr>
      <w:r>
        <w:t xml:space="preserve">Declared review scope</w:t>
      </w:r>
    </w:p>
    <w:p>
      <w:r>
        <w:t xml:space="preserve">Fictional selected population. Implement a customer-approved fictional hold and retain release instructions</w:t>
      </w:r>
    </w:p>
    <w:p>
      <w:pPr>
        <w:pStyle w:val="Heading1"/>
      </w:pPr>
      <w:r>
        <w:t xml:space="preserve">Named task population</w:t>
      </w:r>
    </w:p>
    <w:p>
      <w:r>
        <w:t xml:space="preserve">Current facts and every reported stage snapshot remain complete in the Excel and JSON outputs. This formal preview shows the first 20 task identities and selected task facts.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1040"/>
        <w:gridCol w:w="3120"/>
        <w:gridCol w:w="4160"/>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Item</w:t>
            </w:r>
          </w:p>
        </w:tc>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State</w:t>
            </w:r>
          </w:p>
        </w:tc>
        <w:tc>
          <w:tcPr>
            <w:tcW w:type="dxa" w:w="31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41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Released</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workflow owner</w:t>
            </w:r>
          </w:p>
        </w:tc>
        <w:tc>
          <w:tcPr>
            <w:tcW w:type="dxa" w:w="41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Matter reference. Matter reference. Implement a customer-approved fictional hold and retain release instructions Hold Instruction. Hold Instruction. Implement a customer-approved fictional hold and retain release instructions</w:t>
            </w:r>
          </w:p>
        </w:tc>
      </w:tr>
    </w:tbl>
    <w:p>
      <w:pPr>
        <w:pStyle w:val="Heading1"/>
      </w:pPr>
      <w:r>
        <w:t xml:space="preserve">Review findings</w:t>
      </w:r>
    </w:p>
    <w:p>
      <w:r>
        <w:t xml:space="preserve">1 selected task items, 1 consistent customer-declared completions and 0 unresolved or outstanding findings.</w:t>
      </w:r>
    </w:p>
    <w:p>
      <w:r>
        <w:t xml:space="preserve">Formal report findings display at most 100 rows and 1000 characters per field. Complete accepted task rows, stage snapshots, reported transitions, selected requirement population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552"/>
        <w:gridCol w:w="957"/>
        <w:gridCol w:w="2446"/>
        <w:gridCol w:w="3405"/>
      </w:tblGrid>
      <w:tr>
        <w:trPr>
          <w:cantSplit/>
          <w:tblHeader/>
        </w:trPr>
        <w:tc>
          <w:tcPr>
            <w:tcW w:type="dxa" w:w="255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4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4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EVENT-1</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EVENT-2</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EVENT-3</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EVENT-4</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task item</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 by declaration</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task-specific reported sequence, required stage facts and selected evidence are consistent. Completion remains customer-declared.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Source authority, identity and contents remain unauthenticated.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fictional-legalHolds-evidence.txt</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362</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c7c48c8ff70e10831d07ad344930bb7fe63760b335ebbb15a00bc227337c84a2</w:t>
            </w:r>
          </w:p>
        </w:tc>
      </w:tr>
    </w:tbl>
    <w:p>
      <w:pPr>
        <w:pStyle w:val="Heading1"/>
      </w:pPr>
      <w:r>
        <w:t xml:space="preserve">Unresolved items and limits</w:t>
      </w:r>
    </w:p>
    <w:p>
      <w:pPr>
        <w:pStyle w:val="Heading1"/>
        <w:keepNext/>
      </w:pPr>
      <w:r>
        <w:t xml:space="preserve">Limitations</w:t>
      </w:r>
    </w:p>
    <w:p>
      <w:pPr>
        <w:pStyle w:val="ListParagraph"/>
        <w:keepNext w:val="false"/>
        <w:keepLines/>
        <w:numPr>
          <w:ilvl w:val="0"/>
          <w:numId w:val="1"/>
        </w:numPr>
      </w:pPr>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Domain-independent relationships among source entities, actual reported activities and responsible agents. This modeling reference supplies no legal requirements or approval authority.</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polivwjtwfmbxnnbngoui">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Internet Engineering Task Force: Date and Time on the Internet. Timestamps</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timestamp and UTC-offset syntax. The supported subset uses seconds and confirmed offsets, without leap seconds or unknown local offsets. It supplies no legal clocks or deadlines.</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ilrrrqj7twyo7bcxkwle7">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FICTIONAL-legalHolds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polivwjtwfmbxnnbngoui" Type="http://schemas.openxmlformats.org/officeDocument/2006/relationships/hyperlink" Target="https://www.w3.org/TR/prov-dm/" TargetMode="External"/><Relationship Id="rIdilrrrqj7twyo7bcxkwle7" Type="http://schemas.openxmlformats.org/officeDocument/2006/relationships/hyperlink" Target="https://www.rfc-editor.org/rfc/rfc3339.html"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Legal-hold implementation tracker</dc:title>
  <dc:subject>Fictional sample. Requires tailoring and responsible review.</dc:subject>
  <dc:creator>Business Compliance Tools</dc:creator>
  <cp:keywords>compliance, evidence, us</cp:keywords>
  <dc:description>Legal-hold implementation tracker</dc:description>
  <cp:lastModifiedBy>Business Compliance Tools</cp:lastModifiedBy>
  <cp:revision>1</cp:revision>
  <dcterms:created xsi:type="dcterms:W3CDTF">2026-10-08T22:30:03.876Z</dcterms:created>
  <dcterms:modified xsi:type="dcterms:W3CDTF">2026-10-08T22:30:03.876Z</dcterms:modified>
</cp:coreProperties>
</file>

<file path=docProps/custom.xml><?xml version="1.0" encoding="utf-8"?>
<Properties xmlns="http://schemas.openxmlformats.org/officeDocument/2006/custom-properties" xmlns:vt="http://schemas.openxmlformats.org/officeDocument/2006/docPropsVTypes"/>
</file>